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97" w:rsidRPr="00DE24F8" w:rsidRDefault="00FE3597" w:rsidP="00FE3597">
      <w:pPr>
        <w:spacing w:line="240" w:lineRule="auto"/>
        <w:jc w:val="center"/>
        <w:rPr>
          <w:rFonts w:asciiTheme="majorBidi" w:eastAsia="Times New Roman" w:hAnsiTheme="majorBidi" w:cstheme="majorBidi"/>
          <w:b/>
          <w:bCs/>
          <w:sz w:val="28"/>
          <w:szCs w:val="28"/>
        </w:rPr>
      </w:pPr>
    </w:p>
    <w:p w:rsidR="00BF5021" w:rsidRPr="000D4DCD" w:rsidRDefault="00BF5021" w:rsidP="00BF5021">
      <w:pPr>
        <w:pStyle w:val="Titre1"/>
        <w:spacing w:before="80"/>
        <w:ind w:left="0" w:right="4"/>
        <w:jc w:val="center"/>
        <w:rPr>
          <w:sz w:val="32"/>
          <w:szCs w:val="32"/>
          <w:lang w:val="en-US"/>
        </w:rPr>
      </w:pPr>
      <w:bookmarkStart w:id="0" w:name="_GoBack"/>
      <w:bookmarkEnd w:id="0"/>
      <w:r w:rsidRPr="000D4DCD">
        <w:rPr>
          <w:sz w:val="32"/>
          <w:szCs w:val="32"/>
          <w:lang w:val="en-US"/>
        </w:rPr>
        <w:t>Perception of environmental accounting issues and adoption of environmental management tools by accountants in Tunisia</w:t>
      </w:r>
    </w:p>
    <w:p w:rsidR="00BF5021" w:rsidRPr="000D4DCD" w:rsidRDefault="00BF5021" w:rsidP="00BF5021">
      <w:pPr>
        <w:pStyle w:val="Corpsdetexte"/>
        <w:spacing w:before="130"/>
        <w:ind w:left="0"/>
        <w:jc w:val="left"/>
        <w:rPr>
          <w:sz w:val="22"/>
          <w:lang w:val="en-US"/>
        </w:rPr>
      </w:pPr>
    </w:p>
    <w:p w:rsidR="00BF5021" w:rsidRPr="00AF32C9" w:rsidRDefault="00BF5021" w:rsidP="00BF5021">
      <w:pPr>
        <w:jc w:val="center"/>
        <w:rPr>
          <w:rFonts w:asciiTheme="majorBidi" w:hAnsiTheme="majorBidi" w:cstheme="majorBidi"/>
          <w:b/>
          <w:bCs/>
          <w:sz w:val="24"/>
          <w:szCs w:val="24"/>
          <w:lang w:val="en-US"/>
        </w:rPr>
      </w:pPr>
    </w:p>
    <w:p w:rsidR="00BF5021" w:rsidRDefault="00BF5021" w:rsidP="00BF5021">
      <w:pPr>
        <w:pStyle w:val="Corpsdetexte"/>
        <w:jc w:val="center"/>
        <w:rPr>
          <w:rFonts w:eastAsia="Calibri"/>
          <w:lang w:val="en-US"/>
        </w:rPr>
      </w:pPr>
      <w:bookmarkStart w:id="1" w:name="_Hlk135858273"/>
      <w:r w:rsidRPr="003568E3">
        <w:rPr>
          <w:rFonts w:eastAsia="Calibri"/>
          <w:lang w:val="en-US"/>
        </w:rPr>
        <w:t>Emna ELLEUCH</w:t>
      </w:r>
    </w:p>
    <w:bookmarkEnd w:id="1"/>
    <w:p w:rsidR="00BF5021" w:rsidRPr="003568E3" w:rsidRDefault="00BF5021" w:rsidP="00BF5021">
      <w:pPr>
        <w:pStyle w:val="Corpsdetexte"/>
        <w:jc w:val="center"/>
        <w:rPr>
          <w:rFonts w:eastAsia="Calibri"/>
          <w:lang w:val="en-US"/>
        </w:rPr>
      </w:pPr>
    </w:p>
    <w:p w:rsidR="00BF5021" w:rsidRPr="003568E3" w:rsidRDefault="00BF5021" w:rsidP="00BF5021">
      <w:pPr>
        <w:pStyle w:val="Corpsdetexte"/>
        <w:jc w:val="center"/>
        <w:rPr>
          <w:rFonts w:eastAsia="Calibri"/>
          <w:lang w:val="en-US"/>
        </w:rPr>
      </w:pPr>
      <w:r w:rsidRPr="003568E3">
        <w:rPr>
          <w:rFonts w:eastAsia="Calibri"/>
          <w:lang w:val="en-US"/>
        </w:rPr>
        <w:t>Doctor in finance and accounting</w:t>
      </w:r>
    </w:p>
    <w:p w:rsidR="00BF5021" w:rsidRDefault="00BF5021" w:rsidP="00BF5021">
      <w:pPr>
        <w:pStyle w:val="Corpsdetexte"/>
        <w:jc w:val="center"/>
        <w:rPr>
          <w:rFonts w:eastAsia="Calibri"/>
          <w:lang w:val="en-US"/>
        </w:rPr>
      </w:pPr>
      <w:hyperlink r:id="rId8" w:history="1">
        <w:r w:rsidRPr="00526D88">
          <w:rPr>
            <w:rFonts w:eastAsia="Calibri"/>
            <w:lang w:val="en-US"/>
          </w:rPr>
          <w:t>Faculty of Economics and Management of Sfax</w:t>
        </w:r>
      </w:hyperlink>
      <w:r w:rsidRPr="00F42CF2">
        <w:rPr>
          <w:rFonts w:eastAsia="Calibri"/>
          <w:lang w:val="en-US"/>
        </w:rPr>
        <w:t>,</w:t>
      </w:r>
    </w:p>
    <w:p w:rsidR="00BF5021" w:rsidRPr="002F74C5" w:rsidRDefault="00BF5021" w:rsidP="00BF5021">
      <w:pPr>
        <w:pStyle w:val="Corpsdetexte"/>
        <w:jc w:val="center"/>
        <w:rPr>
          <w:rFonts w:eastAsia="Calibri"/>
          <w:lang w:val="en-US"/>
        </w:rPr>
      </w:pPr>
    </w:p>
    <w:p w:rsidR="00BF5021" w:rsidRPr="002F74C5" w:rsidRDefault="00BF5021" w:rsidP="00BF5021">
      <w:pPr>
        <w:pStyle w:val="Corpsdetexte"/>
        <w:jc w:val="center"/>
        <w:rPr>
          <w:rFonts w:eastAsia="Calibri"/>
          <w:lang w:val="en-US"/>
        </w:rPr>
      </w:pPr>
      <w:r w:rsidRPr="002F74C5">
        <w:rPr>
          <w:rFonts w:eastAsia="Calibri"/>
          <w:lang w:val="en-US"/>
        </w:rPr>
        <w:t>University of Sfax, Tunisia</w:t>
      </w:r>
    </w:p>
    <w:p w:rsidR="00BF5021" w:rsidRPr="002F74C5" w:rsidRDefault="00BF5021" w:rsidP="00BF5021">
      <w:pPr>
        <w:pStyle w:val="Corpsdetexte"/>
        <w:jc w:val="center"/>
        <w:rPr>
          <w:rFonts w:eastAsia="Calibri"/>
          <w:lang w:val="en-US"/>
        </w:rPr>
      </w:pPr>
      <w:r w:rsidRPr="002F74C5">
        <w:rPr>
          <w:rFonts w:eastAsia="Calibri"/>
          <w:lang w:val="en-US"/>
        </w:rPr>
        <w:t>Town/City: Sfax</w:t>
      </w:r>
    </w:p>
    <w:p w:rsidR="00BF5021" w:rsidRPr="002F74C5" w:rsidRDefault="00BF5021" w:rsidP="00BF5021">
      <w:pPr>
        <w:pStyle w:val="Corpsdetexte"/>
        <w:jc w:val="center"/>
        <w:rPr>
          <w:rFonts w:eastAsia="Calibri"/>
          <w:lang w:val="en-US"/>
        </w:rPr>
      </w:pPr>
      <w:r w:rsidRPr="002F74C5">
        <w:rPr>
          <w:rFonts w:eastAsia="Calibri"/>
          <w:lang w:val="en-US"/>
        </w:rPr>
        <w:t>Country: Tunisia</w:t>
      </w:r>
    </w:p>
    <w:p w:rsidR="00BF5021" w:rsidRPr="00802575" w:rsidRDefault="00BF5021" w:rsidP="00BF5021">
      <w:pPr>
        <w:pStyle w:val="Corpsdetexte"/>
        <w:jc w:val="center"/>
        <w:rPr>
          <w:lang w:val="en-US"/>
        </w:rPr>
      </w:pPr>
      <w:r w:rsidRPr="00802575">
        <w:rPr>
          <w:lang w:val="en-US"/>
        </w:rPr>
        <w:t>Email:</w:t>
      </w:r>
      <w:bookmarkStart w:id="2" w:name="_Hlk135858246"/>
      <w:r w:rsidRPr="00A94635">
        <w:rPr>
          <w:color w:val="0000FF"/>
          <w:u w:val="single"/>
          <w:lang w:val="en-US"/>
        </w:rPr>
        <w:t>emnaelleuch20092009@hotmail.fr</w:t>
      </w:r>
      <w:bookmarkEnd w:id="2"/>
    </w:p>
    <w:p w:rsidR="00BF5021" w:rsidRPr="00802575" w:rsidRDefault="00BF5021" w:rsidP="00BF5021">
      <w:pPr>
        <w:pStyle w:val="Corpsdetexte"/>
        <w:jc w:val="center"/>
        <w:rPr>
          <w:color w:val="0000FF"/>
          <w:u w:val="single"/>
          <w:lang w:val="en-US"/>
        </w:rPr>
      </w:pPr>
    </w:p>
    <w:p w:rsidR="00BF5021" w:rsidRDefault="00BF5021" w:rsidP="00BF5021">
      <w:pPr>
        <w:pStyle w:val="Corpsdetexte"/>
        <w:jc w:val="center"/>
        <w:rPr>
          <w:rFonts w:eastAsia="Calibri"/>
          <w:lang w:val="en-US"/>
        </w:rPr>
      </w:pPr>
      <w:r w:rsidRPr="003568E3">
        <w:rPr>
          <w:rFonts w:eastAsia="Calibri"/>
          <w:lang w:val="en-US"/>
        </w:rPr>
        <w:t>Sami BOUDABBOUS</w:t>
      </w:r>
    </w:p>
    <w:p w:rsidR="00BF5021" w:rsidRPr="00A94635" w:rsidRDefault="00BF5021" w:rsidP="00BF5021">
      <w:pPr>
        <w:pStyle w:val="Corpsdetexte"/>
        <w:jc w:val="center"/>
        <w:rPr>
          <w:rFonts w:eastAsia="Calibri"/>
          <w:lang w:val="en-US"/>
        </w:rPr>
      </w:pPr>
    </w:p>
    <w:p w:rsidR="00BF5021" w:rsidRDefault="00BF5021" w:rsidP="00BF5021">
      <w:pPr>
        <w:pStyle w:val="Corpsdetexte"/>
        <w:jc w:val="center"/>
        <w:rPr>
          <w:rFonts w:eastAsia="Calibri"/>
          <w:lang w:val="en-US"/>
        </w:rPr>
      </w:pPr>
      <w:r w:rsidRPr="00A94635">
        <w:rPr>
          <w:rFonts w:eastAsia="Calibri"/>
          <w:lang w:val="en-US"/>
        </w:rPr>
        <w:t xml:space="preserve">Professor </w:t>
      </w:r>
      <w:r>
        <w:rPr>
          <w:rFonts w:eastAsia="Calibri"/>
          <w:lang w:val="en-US"/>
        </w:rPr>
        <w:t>in</w:t>
      </w:r>
      <w:bookmarkStart w:id="3" w:name="_Hlk135858540"/>
      <w:r>
        <w:rPr>
          <w:rFonts w:eastAsia="Calibri"/>
          <w:lang w:val="en-US"/>
        </w:rPr>
        <w:t xml:space="preserve"> </w:t>
      </w:r>
      <w:r w:rsidRPr="00A94635">
        <w:rPr>
          <w:rFonts w:eastAsia="Calibri"/>
          <w:lang w:val="en-US"/>
        </w:rPr>
        <w:t>Management</w:t>
      </w:r>
      <w:bookmarkEnd w:id="3"/>
    </w:p>
    <w:p w:rsidR="00BF5021" w:rsidRDefault="00BF5021" w:rsidP="00BF5021">
      <w:pPr>
        <w:pStyle w:val="Corpsdetexte"/>
        <w:jc w:val="center"/>
        <w:rPr>
          <w:rFonts w:eastAsia="Calibri"/>
          <w:lang w:val="en-US"/>
        </w:rPr>
      </w:pPr>
      <w:hyperlink r:id="rId9" w:history="1">
        <w:r w:rsidRPr="00526D88">
          <w:rPr>
            <w:rFonts w:eastAsia="Calibri"/>
            <w:lang w:val="en-US"/>
          </w:rPr>
          <w:t>Faculty of Economics and Management of Sfax</w:t>
        </w:r>
      </w:hyperlink>
      <w:r w:rsidRPr="00F42CF2">
        <w:rPr>
          <w:rFonts w:eastAsia="Calibri"/>
          <w:lang w:val="en-US"/>
        </w:rPr>
        <w:t>,</w:t>
      </w:r>
    </w:p>
    <w:p w:rsidR="00BF5021" w:rsidRPr="00F42CF2" w:rsidRDefault="00BF5021" w:rsidP="00BF5021">
      <w:pPr>
        <w:pStyle w:val="Corpsdetexte"/>
        <w:jc w:val="center"/>
        <w:rPr>
          <w:rFonts w:eastAsia="Calibri"/>
          <w:lang w:val="en-US"/>
        </w:rPr>
      </w:pPr>
      <w:r w:rsidRPr="002F74C5">
        <w:rPr>
          <w:rFonts w:eastAsia="Calibri"/>
          <w:lang w:val="en-US"/>
        </w:rPr>
        <w:t>University of Sfax</w:t>
      </w:r>
    </w:p>
    <w:p w:rsidR="00BF5021" w:rsidRPr="00F42CF2" w:rsidRDefault="00BF5021" w:rsidP="00BF5021">
      <w:pPr>
        <w:pStyle w:val="Corpsdetexte"/>
        <w:jc w:val="center"/>
        <w:rPr>
          <w:lang w:val="en-US"/>
        </w:rPr>
      </w:pPr>
      <w:r w:rsidRPr="00F42CF2">
        <w:rPr>
          <w:lang w:val="en-US"/>
        </w:rPr>
        <w:t>Email</w:t>
      </w:r>
      <w:bookmarkStart w:id="4" w:name="_Hlk135858179"/>
      <w:r w:rsidRPr="00F42CF2">
        <w:rPr>
          <w:lang w:val="en-US"/>
        </w:rPr>
        <w:t xml:space="preserve">: </w:t>
      </w:r>
      <w:r w:rsidRPr="00A94635">
        <w:rPr>
          <w:color w:val="0000FF"/>
          <w:u w:val="single"/>
          <w:lang w:val="en-US"/>
        </w:rPr>
        <w:t>samiboudabbous2002@yahoo.fr</w:t>
      </w:r>
      <w:bookmarkEnd w:id="4"/>
    </w:p>
    <w:p w:rsidR="00BF5021" w:rsidRPr="006E54E6" w:rsidRDefault="00BF5021" w:rsidP="00BF5021">
      <w:pPr>
        <w:pStyle w:val="Corpsdetexte"/>
        <w:jc w:val="center"/>
        <w:rPr>
          <w:rFonts w:asciiTheme="majorBidi" w:hAnsiTheme="majorBidi" w:cstheme="majorBidi"/>
          <w:bCs/>
          <w:sz w:val="20"/>
          <w:szCs w:val="20"/>
          <w:lang w:val="en-US"/>
        </w:rPr>
      </w:pPr>
    </w:p>
    <w:p w:rsidR="009C2E2B" w:rsidRPr="00BF5021" w:rsidRDefault="009C2E2B" w:rsidP="009C2E2B">
      <w:pPr>
        <w:spacing w:line="240" w:lineRule="auto"/>
        <w:jc w:val="center"/>
        <w:rPr>
          <w:rFonts w:asciiTheme="majorBidi" w:hAnsiTheme="majorBidi" w:cstheme="majorBidi"/>
          <w:b/>
          <w:bCs/>
          <w:sz w:val="24"/>
          <w:szCs w:val="24"/>
          <w:lang w:val="en-US"/>
        </w:rPr>
      </w:pPr>
    </w:p>
    <w:p w:rsidR="00FE3597" w:rsidRPr="00BF5021" w:rsidRDefault="00FE3597" w:rsidP="00FE3597">
      <w:pPr>
        <w:tabs>
          <w:tab w:val="center" w:pos="4513"/>
        </w:tabs>
        <w:rPr>
          <w:rFonts w:asciiTheme="majorBidi" w:eastAsia="Times New Roman" w:hAnsiTheme="majorBidi" w:cstheme="majorBidi"/>
          <w:b/>
          <w:bCs/>
          <w:sz w:val="20"/>
          <w:szCs w:val="20"/>
          <w:lang w:val="en-US"/>
        </w:rPr>
      </w:pPr>
    </w:p>
    <w:p w:rsidR="00FE3597" w:rsidRPr="00BF5021" w:rsidRDefault="00FE3597" w:rsidP="00FE3597">
      <w:pPr>
        <w:tabs>
          <w:tab w:val="center" w:pos="4513"/>
        </w:tabs>
        <w:rPr>
          <w:rFonts w:asciiTheme="majorBidi" w:eastAsia="Times New Roman" w:hAnsiTheme="majorBidi" w:cstheme="majorBidi"/>
          <w:b/>
          <w:bCs/>
          <w:sz w:val="20"/>
          <w:szCs w:val="20"/>
          <w:lang w:val="en-US"/>
        </w:rPr>
      </w:pPr>
    </w:p>
    <w:p w:rsidR="00FE3597" w:rsidRPr="00BF5021" w:rsidRDefault="00FE3597" w:rsidP="00FE3597">
      <w:pPr>
        <w:tabs>
          <w:tab w:val="center" w:pos="4513"/>
        </w:tabs>
        <w:rPr>
          <w:rFonts w:asciiTheme="majorBidi" w:eastAsia="Times New Roman" w:hAnsiTheme="majorBidi" w:cstheme="majorBidi"/>
          <w:b/>
          <w:bCs/>
          <w:sz w:val="20"/>
          <w:szCs w:val="20"/>
          <w:lang w:val="en-US"/>
        </w:rPr>
      </w:pPr>
    </w:p>
    <w:p w:rsidR="00FE3597" w:rsidRPr="00DE24F8" w:rsidRDefault="00FE3597" w:rsidP="00FA754F">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w:t>
      </w:r>
      <w:r w:rsidR="00FA754F">
        <w:rPr>
          <w:rFonts w:asciiTheme="majorBidi" w:eastAsia="Times New Roman" w:hAnsiTheme="majorBidi" w:cstheme="majorBidi"/>
          <w:sz w:val="20"/>
          <w:szCs w:val="20"/>
        </w:rPr>
        <w:t>05</w:t>
      </w:r>
      <w:r w:rsidRPr="00DE24F8">
        <w:rPr>
          <w:rFonts w:asciiTheme="majorBidi" w:eastAsia="Times New Roman" w:hAnsiTheme="majorBidi" w:cstheme="majorBidi"/>
          <w:sz w:val="20"/>
          <w:szCs w:val="20"/>
        </w:rPr>
        <w:t>/</w:t>
      </w:r>
      <w:r w:rsidR="00FA754F">
        <w:rPr>
          <w:rFonts w:asciiTheme="majorBidi" w:eastAsia="Times New Roman" w:hAnsiTheme="majorBidi" w:cstheme="majorBidi"/>
          <w:sz w:val="20"/>
          <w:szCs w:val="20"/>
        </w:rPr>
        <w:t>04</w:t>
      </w:r>
      <w:r w:rsidRPr="00DE24F8">
        <w:rPr>
          <w:rFonts w:asciiTheme="majorBidi" w:eastAsia="Times New Roman" w:hAnsiTheme="majorBidi" w:cstheme="majorBidi"/>
          <w:sz w:val="20"/>
          <w:szCs w:val="20"/>
        </w:rPr>
        <w:t>/</w:t>
      </w:r>
      <w:r w:rsidR="00FA754F">
        <w:rPr>
          <w:rFonts w:asciiTheme="majorBidi" w:eastAsia="Times New Roman" w:hAnsiTheme="majorBidi" w:cstheme="majorBidi"/>
          <w:sz w:val="20"/>
          <w:szCs w:val="20"/>
        </w:rPr>
        <w:t>2025</w:t>
      </w:r>
      <w:r w:rsidRPr="00DE24F8">
        <w:rPr>
          <w:rFonts w:asciiTheme="majorBidi" w:eastAsia="Times New Roman" w:hAnsiTheme="majorBidi" w:cstheme="majorBidi"/>
          <w:sz w:val="20"/>
          <w:szCs w:val="20"/>
        </w:rPr>
        <w:tab/>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xx/xx/xxxx</w:t>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Pour citer cet article</w:t>
      </w:r>
      <w:r w:rsidRPr="00DE24F8">
        <w:rPr>
          <w:rFonts w:asciiTheme="majorBidi" w:eastAsia="Times New Roman" w:hAnsiTheme="majorBidi" w:cstheme="majorBidi"/>
          <w:sz w:val="20"/>
          <w:szCs w:val="20"/>
        </w:rPr>
        <w:t xml:space="preserve"> : </w:t>
      </w:r>
    </w:p>
    <w:p w:rsidR="00FE3597" w:rsidRPr="00DE24F8" w:rsidRDefault="00FE3597" w:rsidP="00F06905">
      <w:pPr>
        <w:rPr>
          <w:rFonts w:asciiTheme="majorBidi" w:eastAsia="Times New Roman" w:hAnsiTheme="majorBidi" w:cstheme="majorBidi"/>
          <w:sz w:val="20"/>
          <w:szCs w:val="20"/>
        </w:rPr>
      </w:pPr>
      <w:r w:rsidRPr="00DE24F8">
        <w:rPr>
          <w:rFonts w:asciiTheme="majorBidi" w:eastAsia="Times New Roman" w:hAnsiTheme="majorBidi" w:cstheme="majorBidi"/>
          <w:sz w:val="20"/>
          <w:szCs w:val="20"/>
        </w:rPr>
        <w:t>Nom. Première lettre du prénom</w:t>
      </w:r>
      <w:r w:rsidR="006D091A">
        <w:rPr>
          <w:rFonts w:asciiTheme="majorBidi" w:eastAsia="Times New Roman" w:hAnsiTheme="majorBidi" w:cstheme="majorBidi"/>
          <w:sz w:val="20"/>
          <w:szCs w:val="20"/>
        </w:rPr>
        <w:t>.</w:t>
      </w:r>
      <w:r w:rsidRPr="00DE24F8">
        <w:rPr>
          <w:rFonts w:asciiTheme="majorBidi" w:eastAsia="Times New Roman" w:hAnsiTheme="majorBidi" w:cstheme="majorBidi"/>
          <w:sz w:val="20"/>
          <w:szCs w:val="20"/>
        </w:rPr>
        <w:t xml:space="preserve"> (20</w:t>
      </w:r>
      <w:r w:rsidR="006D091A">
        <w:rPr>
          <w:rFonts w:asciiTheme="majorBidi" w:eastAsia="Times New Roman" w:hAnsiTheme="majorBidi" w:cstheme="majorBidi"/>
          <w:sz w:val="20"/>
          <w:szCs w:val="20"/>
        </w:rPr>
        <w:t>00</w:t>
      </w:r>
      <w:r w:rsidRPr="00DE24F8">
        <w:rPr>
          <w:rFonts w:asciiTheme="majorBidi" w:eastAsia="Times New Roman" w:hAnsiTheme="majorBidi" w:cstheme="majorBidi"/>
          <w:sz w:val="20"/>
          <w:szCs w:val="20"/>
        </w:rPr>
        <w:t xml:space="preserve">) «Titre de l’article », Revue </w:t>
      </w:r>
      <w:r w:rsidR="00864D80">
        <w:rPr>
          <w:rFonts w:asciiTheme="majorBidi" w:eastAsia="Times New Roman" w:hAnsiTheme="majorBidi" w:cstheme="majorBidi"/>
          <w:sz w:val="20"/>
          <w:szCs w:val="20"/>
        </w:rPr>
        <w:t>Internationale Multidisciplinaire D’Economie et de Gestion</w:t>
      </w:r>
      <w:r w:rsidR="006D091A">
        <w:rPr>
          <w:rFonts w:asciiTheme="majorBidi" w:eastAsia="Times New Roman" w:hAnsiTheme="majorBidi" w:cstheme="majorBidi"/>
          <w:sz w:val="20"/>
          <w:szCs w:val="20"/>
        </w:rPr>
        <w:t xml:space="preserve"> d’Economie et de Gestion</w:t>
      </w:r>
      <w:r w:rsidRPr="00DE24F8">
        <w:rPr>
          <w:rFonts w:asciiTheme="majorBidi" w:eastAsia="Times New Roman" w:hAnsiTheme="majorBidi" w:cstheme="majorBidi"/>
          <w:sz w:val="20"/>
          <w:szCs w:val="20"/>
        </w:rPr>
        <w:t>«</w:t>
      </w:r>
      <w:r w:rsidR="0087232B">
        <w:rPr>
          <w:rFonts w:ascii="Book Antiqua" w:hAnsi="Book Antiqua"/>
          <w:sz w:val="20"/>
        </w:rPr>
        <w:t xml:space="preserve">Volume </w:t>
      </w:r>
      <w:r w:rsidR="00DE02FF">
        <w:rPr>
          <w:rFonts w:ascii="Book Antiqua" w:hAnsi="Book Antiqua"/>
          <w:sz w:val="20"/>
        </w:rPr>
        <w:t>XX</w:t>
      </w:r>
      <w:r w:rsidR="00654D38">
        <w:rPr>
          <w:rFonts w:ascii="Book Antiqua" w:hAnsi="Book Antiqua"/>
          <w:sz w:val="20"/>
        </w:rPr>
        <w:t xml:space="preserve"> : Numéro </w:t>
      </w:r>
      <w:r w:rsidR="00DE02FF">
        <w:rPr>
          <w:rFonts w:ascii="Book Antiqua" w:hAnsi="Book Antiqua"/>
          <w:sz w:val="20"/>
        </w:rPr>
        <w:t>YY</w:t>
      </w:r>
      <w:r w:rsidRPr="00DE24F8">
        <w:rPr>
          <w:rFonts w:asciiTheme="majorBidi" w:eastAsia="Times New Roman" w:hAnsiTheme="majorBidi" w:cstheme="majorBidi"/>
          <w:sz w:val="20"/>
          <w:szCs w:val="20"/>
        </w:rPr>
        <w:t>» p</w:t>
      </w:r>
      <w:r w:rsidR="004A4939">
        <w:rPr>
          <w:rFonts w:asciiTheme="majorBidi" w:eastAsia="Times New Roman" w:hAnsiTheme="majorBidi" w:cstheme="majorBidi"/>
          <w:sz w:val="20"/>
          <w:szCs w:val="20"/>
        </w:rPr>
        <w:t>p</w:t>
      </w:r>
      <w:r w:rsidRPr="00DE24F8">
        <w:rPr>
          <w:rFonts w:asciiTheme="majorBidi" w:eastAsia="Times New Roman" w:hAnsiTheme="majorBidi" w:cstheme="majorBidi"/>
          <w:sz w:val="20"/>
          <w:szCs w:val="20"/>
        </w:rPr>
        <w:t xml:space="preserve"> : - </w:t>
      </w:r>
    </w:p>
    <w:p w:rsidR="00FE3597" w:rsidRPr="00781511" w:rsidRDefault="00F06905" w:rsidP="00FE3597">
      <w:pPr>
        <w:rPr>
          <w:rFonts w:asciiTheme="majorBidi" w:eastAsia="Times New Roman" w:hAnsiTheme="majorBidi" w:cstheme="majorBidi"/>
          <w:b/>
          <w:bCs/>
          <w:lang w:val="en-US"/>
        </w:rPr>
      </w:pPr>
      <w:r w:rsidRPr="00781511">
        <w:rPr>
          <w:rFonts w:asciiTheme="majorBidi" w:eastAsia="Times New Roman" w:hAnsiTheme="majorBidi" w:cstheme="majorBidi"/>
          <w:b/>
          <w:bCs/>
          <w:lang w:val="en-US"/>
        </w:rPr>
        <w:t xml:space="preserve">Digital Object Identifier (DOI) : </w:t>
      </w:r>
    </w:p>
    <w:p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rsidR="00B55E22" w:rsidRDefault="00B55E22" w:rsidP="00B55E22">
      <w:pPr>
        <w:widowControl w:val="0"/>
        <w:suppressAutoHyphens/>
        <w:jc w:val="center"/>
        <w:rPr>
          <w:sz w:val="20"/>
          <w:szCs w:val="20"/>
          <w:lang w:val="en-US"/>
        </w:rPr>
      </w:pPr>
      <w:r>
        <w:rPr>
          <w:noProof/>
          <w:sz w:val="20"/>
          <w:szCs w:val="20"/>
        </w:rPr>
        <w:drawing>
          <wp:inline distT="0" distB="0" distL="0" distR="0">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A574BC" w:rsidRPr="00B55E22" w:rsidRDefault="00A574BC" w:rsidP="00B55E22">
      <w:pPr>
        <w:widowControl w:val="0"/>
        <w:suppressAutoHyphens/>
        <w:jc w:val="center"/>
        <w:rPr>
          <w:sz w:val="20"/>
          <w:szCs w:val="20"/>
          <w:lang w:val="en-US"/>
        </w:rPr>
      </w:pPr>
    </w:p>
    <w:p w:rsidR="00AC56EF" w:rsidRDefault="00AC56EF" w:rsidP="00F93590">
      <w:pPr>
        <w:autoSpaceDE w:val="0"/>
        <w:autoSpaceDN w:val="0"/>
        <w:adjustRightInd w:val="0"/>
        <w:rPr>
          <w:rFonts w:asciiTheme="majorBidi" w:hAnsiTheme="majorBidi" w:cstheme="majorBidi"/>
          <w:b/>
          <w:bCs/>
          <w:sz w:val="24"/>
          <w:szCs w:val="24"/>
        </w:rPr>
      </w:pPr>
    </w:p>
    <w:p w:rsidR="00BF5021" w:rsidRDefault="00BF5021" w:rsidP="00DE24F8">
      <w:pPr>
        <w:autoSpaceDE w:val="0"/>
        <w:autoSpaceDN w:val="0"/>
        <w:adjustRightInd w:val="0"/>
        <w:rPr>
          <w:rFonts w:asciiTheme="majorBidi" w:hAnsiTheme="majorBidi" w:cstheme="majorBidi"/>
          <w:b/>
          <w:bCs/>
          <w:sz w:val="24"/>
          <w:szCs w:val="24"/>
        </w:rPr>
      </w:pPr>
    </w:p>
    <w:p w:rsidR="00EB4623" w:rsidRDefault="00EB4623" w:rsidP="00DE24F8">
      <w:pPr>
        <w:autoSpaceDE w:val="0"/>
        <w:autoSpaceDN w:val="0"/>
        <w:adjustRightInd w:val="0"/>
        <w:rPr>
          <w:rFonts w:asciiTheme="majorBidi" w:hAnsiTheme="majorBidi" w:cstheme="majorBidi"/>
          <w:sz w:val="24"/>
          <w:szCs w:val="24"/>
        </w:rPr>
      </w:pPr>
    </w:p>
    <w:p w:rsidR="00080AA1" w:rsidRPr="00DE24F8" w:rsidRDefault="00080AA1" w:rsidP="00DE24F8">
      <w:pPr>
        <w:autoSpaceDE w:val="0"/>
        <w:autoSpaceDN w:val="0"/>
        <w:adjustRightInd w:val="0"/>
        <w:rPr>
          <w:rFonts w:asciiTheme="majorBidi" w:hAnsiTheme="majorBidi" w:cstheme="majorBidi"/>
          <w:sz w:val="24"/>
          <w:szCs w:val="24"/>
        </w:rPr>
      </w:pPr>
    </w:p>
    <w:p w:rsidR="00BF5021" w:rsidRPr="000D4DCD" w:rsidRDefault="00BF5021" w:rsidP="00BF5021">
      <w:pPr>
        <w:pStyle w:val="Titre1"/>
        <w:ind w:left="0"/>
        <w:rPr>
          <w:lang w:val="en-US"/>
        </w:rPr>
      </w:pPr>
      <w:r w:rsidRPr="000D4DCD">
        <w:rPr>
          <w:lang w:val="en-US"/>
        </w:rPr>
        <w:lastRenderedPageBreak/>
        <w:t>Abstract</w:t>
      </w:r>
    </w:p>
    <w:p w:rsidR="00BF5021" w:rsidRPr="000D4DCD" w:rsidRDefault="00BF5021" w:rsidP="00BF5021">
      <w:pPr>
        <w:pStyle w:val="Corpsdetexte"/>
        <w:spacing w:before="41" w:line="276" w:lineRule="auto"/>
        <w:ind w:left="0"/>
        <w:rPr>
          <w:lang w:val="en-US"/>
        </w:rPr>
      </w:pPr>
      <w:r w:rsidRPr="000D4DCD">
        <w:rPr>
          <w:lang w:val="en-US"/>
        </w:rPr>
        <w:t>Through a survey conducted in Tunisia, we examined the perceptions and attitudes of accountants towards environmental accounting and the overall environmental agenda. Drawing on the fundamental methodology established by Bebbington et al. (1994), we collected data through a survey of accountants working in both government and the private sector. Out of 80 responses, Tunisian accountants appear to have a predominantly positive attitude towards environmental concerns. However, the study results highlight a minimal integration of environmental accounting and management tools into their professional practices. To enhance their contribution to achieving the Sustainable Development Goals, targeted initiatives, including training programs organized under the auspices of the Order of Chartered Accountants, should be implemented to enhance their skills and promote the adoption of environmental accounting instruments.</w:t>
      </w:r>
    </w:p>
    <w:p w:rsidR="00BF5021" w:rsidRPr="000D4DCD" w:rsidRDefault="00BF5021" w:rsidP="00BF5021">
      <w:pPr>
        <w:pStyle w:val="Corpsdetexte"/>
        <w:spacing w:before="41" w:line="276" w:lineRule="auto"/>
        <w:ind w:left="0"/>
        <w:rPr>
          <w:b/>
          <w:spacing w:val="-2"/>
          <w:lang w:val="en-US"/>
        </w:rPr>
      </w:pPr>
      <w:r w:rsidRPr="000D4DCD">
        <w:rPr>
          <w:b/>
          <w:u w:val="single"/>
          <w:lang w:val="en-US"/>
        </w:rPr>
        <w:t>Keywords</w:t>
      </w:r>
      <w:r w:rsidRPr="000D4DCD">
        <w:rPr>
          <w:b/>
          <w:lang w:val="en-US"/>
        </w:rPr>
        <w:t xml:space="preserve">: accountant, environmental accounting, developing country, sustainable </w:t>
      </w:r>
      <w:r w:rsidRPr="000D4DCD">
        <w:rPr>
          <w:b/>
          <w:spacing w:val="-2"/>
          <w:lang w:val="en-US"/>
        </w:rPr>
        <w:t>growth</w:t>
      </w:r>
    </w:p>
    <w:p w:rsidR="009C2E2B" w:rsidRDefault="009C2E2B">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Default="00FA754F">
      <w:pPr>
        <w:rPr>
          <w:rFonts w:asciiTheme="majorBidi" w:hAnsiTheme="majorBidi" w:cstheme="majorBidi"/>
          <w:b/>
          <w:bCs/>
          <w:sz w:val="24"/>
          <w:szCs w:val="24"/>
          <w:lang w:val="en-US"/>
        </w:rPr>
      </w:pPr>
    </w:p>
    <w:p w:rsidR="00FA754F" w:rsidRPr="00BF5021" w:rsidRDefault="00FA754F">
      <w:pPr>
        <w:rPr>
          <w:rFonts w:asciiTheme="majorBidi" w:hAnsiTheme="majorBidi" w:cstheme="majorBidi"/>
          <w:b/>
          <w:bCs/>
          <w:sz w:val="24"/>
          <w:szCs w:val="24"/>
          <w:lang w:val="en-US"/>
        </w:rPr>
      </w:pPr>
    </w:p>
    <w:p w:rsidR="00D93720" w:rsidRPr="00BF5021" w:rsidRDefault="00EB4623" w:rsidP="00F93590">
      <w:pPr>
        <w:autoSpaceDE w:val="0"/>
        <w:autoSpaceDN w:val="0"/>
        <w:adjustRightInd w:val="0"/>
        <w:rPr>
          <w:rFonts w:asciiTheme="majorBidi" w:hAnsiTheme="majorBidi" w:cstheme="majorBidi"/>
          <w:b/>
          <w:bCs/>
          <w:sz w:val="24"/>
          <w:szCs w:val="24"/>
          <w:lang w:val="en-US"/>
        </w:rPr>
      </w:pPr>
      <w:r w:rsidRPr="00BF5021">
        <w:rPr>
          <w:rFonts w:asciiTheme="majorBidi" w:hAnsiTheme="majorBidi" w:cstheme="majorBidi"/>
          <w:b/>
          <w:bCs/>
          <w:sz w:val="24"/>
          <w:szCs w:val="24"/>
          <w:lang w:val="en-US"/>
        </w:rPr>
        <w:t>Introduction</w:t>
      </w:r>
    </w:p>
    <w:p w:rsidR="00BF5021" w:rsidRPr="000D4DCD" w:rsidRDefault="00BF5021" w:rsidP="00BF5021">
      <w:pPr>
        <w:pStyle w:val="Corpsdetexte"/>
        <w:spacing w:line="360" w:lineRule="auto"/>
        <w:ind w:left="0"/>
        <w:rPr>
          <w:lang w:val="en-US"/>
        </w:rPr>
      </w:pPr>
      <w:r w:rsidRPr="000D4DCD">
        <w:rPr>
          <w:lang w:val="en-US"/>
        </w:rPr>
        <w:t>Green growth is conceptualized by Amoussouga (2013) as "a transformative vision of economic development that honors environmental integrity and promotes intergenerational equity." In Tunisia, akin to numerous developing nations, the necessity for a transition towards a green and sustainable economy is underscored by various socio-economic and environmental challenges. Recent statistics from the World Bank and other reputable institutions indicate that Tunisia is confronted with economic difficulties stemming from the inadequate diversification of its economic framework, excessive energy reliance, and insufficient growth rates that fail to substantially alleviate poverty (World Bank, 2020). To address these challenges, the implementation of structural reforms is imperative, particularly concerning the sustainable management of resources and the incorporation of environmental considerations into economic governance. The field of accounting is poised to play a pivotal role in facilitating this transition towards a green economy. Environmental accounting, a discipline that remains nascent in North Africa, is emerging as a mechanism for transforming conventional accounting practices into instruments that enhance the management of natural resources and promote organizational accountability. As articulated by Antheaume (2013), environmental accounting enables the quantification and oversight of the repercussions of economic activities on ecosystems, while ensuring accountability to both internal and external stakeholders. Among the principal tools associated with this discipline are the ISO 14000 standards, EMAS (European Eco-Management and Audit Scheme), environmental dashboards, and life cycle analyses. Recent scholarly contributions, such as those by Payaud, Martinet, and Amoussouga (2021), have elucidated the significance of corporate social responsibility (CSR) practices in attaining the Sustainable Development Goals (SDGs) and fostering green growth, not only within developed nations but also in developing contexts such as Tunisia. Professional accounting organizations, particularly in the United States and the United Kingdom, have intensified their initiatives to advocate for environmental accounting through the dissemination of reports such as "Driving Sustainability in Corporate Strategy" (CGMA, 2021) and "Accountancy and the Sustainable Development Goals" (IFAC, 2022), thereby illustrating the growing global pertinence of this subject.</w:t>
      </w:r>
    </w:p>
    <w:p w:rsidR="00BF5021" w:rsidRPr="000D4DCD" w:rsidRDefault="00BF5021" w:rsidP="00BF5021">
      <w:pPr>
        <w:pStyle w:val="Corpsdetexte"/>
        <w:spacing w:line="360" w:lineRule="auto"/>
        <w:ind w:left="0"/>
        <w:rPr>
          <w:lang w:val="en-US"/>
        </w:rPr>
      </w:pPr>
      <w:r w:rsidRPr="000D4DCD">
        <w:rPr>
          <w:lang w:val="en-US"/>
        </w:rPr>
        <w:t xml:space="preserve">Despite numerous international studies indicating a positive perception of environmental issues among accountants, it appears that their engagement in tangible environmental </w:t>
      </w:r>
      <w:r w:rsidRPr="000D4DCD">
        <w:rPr>
          <w:lang w:val="en-US"/>
        </w:rPr>
        <w:lastRenderedPageBreak/>
        <w:t>management and reporting practices remains minimal (Bebbington et al., 2021). Limited research has been conducted in Tunisia on this critical subject, notwithstanding the urgent environmental challenges and the escalating interest in the green economy. Consequently, it is pertinent to examine the perceptions of Tunisian accountants concerning environmental accounting issues and their utilization of environmental management tools within their professional practices.</w:t>
      </w:r>
    </w:p>
    <w:p w:rsidR="00BF5021" w:rsidRPr="000D4DCD" w:rsidRDefault="00BF5021" w:rsidP="00BF5021">
      <w:pPr>
        <w:pStyle w:val="Corpsdetexte"/>
        <w:spacing w:line="360" w:lineRule="auto"/>
        <w:ind w:left="0"/>
        <w:rPr>
          <w:lang w:val="en-US"/>
        </w:rPr>
      </w:pPr>
      <w:r w:rsidRPr="000D4DCD">
        <w:rPr>
          <w:lang w:val="en-US"/>
        </w:rPr>
        <w:t>In addressing these inquiries, the present study aspires to replicate the seminal research conducted by Bebbington et al. (1994) concerning accountants' perspectives on environmental matters, while simultaneously introducing a quantitative aspect by evaluating their engagement in environmental management and reporting practices. We utilize data procured from accountants in Tunisia, representing both public and private sectors, through a meticulously designed questionnaire that encompasses both open-ended and closed-ended inquiries, with the objective of examining their practices and attitudes towards environmental accounting. In this context, the term "accountant" is broadly defined to encompass any individual engaged in the collection and analysis of both financial and non-financial information, relevant to decision-making processes, performance assessment, and organizational sustainability (Kester, 2022). This exploratory investigation will illuminate the perceptions held by Tunisian accountants regarding environmental accounting challenges and the utilization of environmental management instruments, thereby enhancing the comprehension of the barriers and facilitators for the more extensive implementation of sustainable practices within Tunisia.</w:t>
      </w:r>
    </w:p>
    <w:p w:rsidR="00BF5021" w:rsidRPr="000D4DCD" w:rsidRDefault="00BF5021" w:rsidP="00BF5021">
      <w:pPr>
        <w:pStyle w:val="Corpsdetexte"/>
        <w:spacing w:line="360" w:lineRule="auto"/>
        <w:ind w:left="0"/>
        <w:rPr>
          <w:lang w:val="en-US"/>
        </w:rPr>
      </w:pPr>
      <w:r w:rsidRPr="000D4DCD">
        <w:rPr>
          <w:lang w:val="en-US"/>
        </w:rPr>
        <w:t>Given the increasing significance of green growth for the economic and environmental trajectory of Tunisia, this research endeavors not only to enrich the understanding of accountants' perceptions regarding environmental concerns but also to provide recommendations aimed at improving the adoption of environmental accounting methodologies within accounting practices in Tunisia.</w:t>
      </w:r>
    </w:p>
    <w:p w:rsidR="00BF5021" w:rsidRPr="00BF5021" w:rsidRDefault="00BF5021" w:rsidP="00BF5021">
      <w:pPr>
        <w:pStyle w:val="Corpsdetexte"/>
        <w:spacing w:line="360" w:lineRule="auto"/>
        <w:ind w:left="0"/>
        <w:rPr>
          <w:lang w:val="en-US"/>
        </w:rPr>
      </w:pPr>
      <w:r w:rsidRPr="000D4DCD">
        <w:rPr>
          <w:lang w:val="en-US"/>
        </w:rPr>
        <w:t xml:space="preserve">Our manuscript is structured into three principal sections. Initially, we conduct a comprehensive review of contemporary literature pertaining to environmental accounting and accounting practices within transition economies. Subsequently, we delineate the methodology employed in this investigation, which is grounded in the analysis of responses obtained from a questionnaire distributed to Tunisian professionals within the accounting domain. Ultimately, in the concluding section, we scrutinize the empirical findings in relation </w:t>
      </w:r>
      <w:r w:rsidRPr="000D4DCD">
        <w:rPr>
          <w:lang w:val="en-US"/>
        </w:rPr>
        <w:lastRenderedPageBreak/>
        <w:t>to existing literature, while concurrently identifying potential pathways for enhancing the incorporation of environmental accounting into the accounting</w:t>
      </w:r>
      <w:r>
        <w:rPr>
          <w:lang w:val="en-US"/>
        </w:rPr>
        <w:t xml:space="preserve"> practices prevalent in Tunisia.</w:t>
      </w:r>
    </w:p>
    <w:p w:rsidR="00BF5021" w:rsidRPr="00BF5021" w:rsidRDefault="00BF5021" w:rsidP="00DE24F8">
      <w:pPr>
        <w:autoSpaceDE w:val="0"/>
        <w:autoSpaceDN w:val="0"/>
        <w:adjustRightInd w:val="0"/>
        <w:rPr>
          <w:rFonts w:asciiTheme="majorBidi" w:hAnsiTheme="majorBidi" w:cstheme="majorBidi"/>
          <w:sz w:val="24"/>
          <w:szCs w:val="24"/>
          <w:lang w:val="en-US"/>
        </w:rPr>
      </w:pPr>
    </w:p>
    <w:p w:rsidR="00BF5021" w:rsidRPr="000B2C42" w:rsidRDefault="00BF5021" w:rsidP="00BF5021">
      <w:pPr>
        <w:pStyle w:val="Corpsdetexte"/>
        <w:numPr>
          <w:ilvl w:val="0"/>
          <w:numId w:val="15"/>
        </w:numPr>
        <w:spacing w:line="360" w:lineRule="auto"/>
        <w:ind w:left="284" w:hanging="284"/>
        <w:rPr>
          <w:b/>
          <w:bCs/>
        </w:rPr>
      </w:pPr>
      <w:r w:rsidRPr="000B2C42">
        <w:rPr>
          <w:b/>
          <w:bCs/>
        </w:rPr>
        <w:t>Literature review</w:t>
      </w:r>
    </w:p>
    <w:p w:rsidR="00BF5021" w:rsidRDefault="00BF5021" w:rsidP="00BF5021">
      <w:pPr>
        <w:pStyle w:val="Corpsdetexte"/>
        <w:numPr>
          <w:ilvl w:val="1"/>
          <w:numId w:val="15"/>
        </w:numPr>
        <w:spacing w:line="360" w:lineRule="auto"/>
        <w:ind w:left="426" w:right="696" w:hanging="426"/>
        <w:rPr>
          <w:b/>
          <w:bCs/>
        </w:rPr>
      </w:pPr>
      <w:r w:rsidRPr="000B2C42">
        <w:rPr>
          <w:b/>
          <w:bCs/>
        </w:rPr>
        <w:t xml:space="preserve">Environmental accounting: </w:t>
      </w:r>
      <w:r>
        <w:rPr>
          <w:b/>
          <w:bCs/>
        </w:rPr>
        <w:t>c</w:t>
      </w:r>
      <w:r w:rsidRPr="000B2C42">
        <w:rPr>
          <w:b/>
          <w:bCs/>
        </w:rPr>
        <w:t>onceptual approach</w:t>
      </w:r>
    </w:p>
    <w:p w:rsidR="00BF5021" w:rsidRPr="000D4DCD" w:rsidRDefault="00BF5021" w:rsidP="00BF5021">
      <w:pPr>
        <w:pStyle w:val="Corpsdetexte"/>
        <w:spacing w:line="360" w:lineRule="auto"/>
        <w:ind w:left="0"/>
        <w:rPr>
          <w:lang w:val="en-US"/>
        </w:rPr>
      </w:pPr>
      <w:r w:rsidRPr="000D4DCD">
        <w:rPr>
          <w:lang w:val="en-US"/>
        </w:rPr>
        <w:t>The consideration of environmental issues by accounting has given rise to different tools designed to meet the two traditional objectives of this discipline: decision support (environmental management accounting) and accountability to stakeholders (environmental reporting). These purposes are well illustrated in Antheaume's (2013) definition of environmental accounting, and each purpose is broken down into tools, whether financial or non-financial.</w:t>
      </w:r>
    </w:p>
    <w:p w:rsidR="00BF5021" w:rsidRPr="000D4DCD" w:rsidRDefault="00BF5021" w:rsidP="00BF5021">
      <w:pPr>
        <w:pStyle w:val="Corpsdetexte"/>
        <w:spacing w:line="360" w:lineRule="auto"/>
        <w:ind w:left="0"/>
        <w:rPr>
          <w:lang w:val="en-US"/>
        </w:rPr>
      </w:pPr>
      <w:r w:rsidRPr="000D4DCD">
        <w:rPr>
          <w:lang w:val="en-US"/>
        </w:rPr>
        <w:t>With regard to decision support, Bartolomeo et al. (2000) distinguish two approaches: environmental management accounting and material and energy flow accounting. Several researchers argue that, for accountants to take environmental issues seriously, it is essential to monitor and analyze the consumption of natural resources and energy with the same rigor as financial indicators (Burritt &amp; Christ, 2021). Environmental management accounting consists of integrating these environmental issues into companies' profitability analyses, in particular by evaluating environmentally-related investments as well as the additional costs generated by regulations (IFAC, 2020).</w:t>
      </w:r>
    </w:p>
    <w:p w:rsidR="00BF5021" w:rsidRPr="000D4DCD" w:rsidRDefault="00BF5021" w:rsidP="00BF5021">
      <w:pPr>
        <w:pStyle w:val="Corpsdetexte"/>
        <w:spacing w:line="360" w:lineRule="auto"/>
        <w:ind w:left="0"/>
        <w:rPr>
          <w:lang w:val="en-US"/>
        </w:rPr>
      </w:pPr>
      <w:r w:rsidRPr="000D4DCD">
        <w:rPr>
          <w:lang w:val="en-US"/>
        </w:rPr>
        <w:t>Regarding accountability, Bartolomeo et al. (2000) identify two forms of reporting: financial reporting and environmental and social reporting. The first aims to assess the financial impact of environmental factors on the company, particularly in terms of returns and risks, in order to inform shareholders and creditors (Gray, Adams, &amp; Owen, 2014). On the other hand, environmental and social reporting extends accountability to other stakeholders, with the objective of reporting on the company's efforts to achieve its societal objectives, including environmental preservation (Christ &amp; Burritt, 2021).</w:t>
      </w:r>
    </w:p>
    <w:p w:rsidR="00BF5021" w:rsidRPr="000D4DCD" w:rsidRDefault="00BF5021" w:rsidP="00BF5021">
      <w:pPr>
        <w:pStyle w:val="Corpsdetexte"/>
        <w:spacing w:line="360" w:lineRule="auto"/>
        <w:ind w:left="0"/>
        <w:rPr>
          <w:lang w:val="en-US"/>
        </w:rPr>
      </w:pPr>
      <w:r w:rsidRPr="000D4DCD">
        <w:rPr>
          <w:lang w:val="en-US"/>
        </w:rPr>
        <w:t xml:space="preserve">Bernard Christophe, quoted by Antheaume (2013), defines environmental accounting as an "information system for monitoring the scarcity of natural resources due to the company's activity, acting accordingly and informing stakeholders". Richard (2012) goes further by stating that environmental accounting must calculate the means to ensure the sustainability of natural and human resources. In response to this need, he proposes the CARE method (Accounting Adapted to the Renewal of the Environment), a model that goes beyond the </w:t>
      </w:r>
      <w:r w:rsidRPr="000D4DCD">
        <w:rPr>
          <w:lang w:val="en-US"/>
        </w:rPr>
        <w:lastRenderedPageBreak/>
        <w:t>traditional logic of accounting, focused solely on financial capital, to include natural and human capital (Richard &amp; Gbego, 2015).</w:t>
      </w:r>
    </w:p>
    <w:p w:rsidR="00BF5021" w:rsidRPr="000D4DCD" w:rsidRDefault="00BF5021" w:rsidP="00BF5021">
      <w:pPr>
        <w:pStyle w:val="Corpsdetexte"/>
        <w:spacing w:line="360" w:lineRule="auto"/>
        <w:ind w:left="0"/>
        <w:rPr>
          <w:lang w:val="en-US"/>
        </w:rPr>
      </w:pPr>
      <w:r w:rsidRPr="000D4DCD">
        <w:rPr>
          <w:lang w:val="en-US"/>
        </w:rPr>
        <w:t>To address these issues, several normative systems have been developed. Essid and Berland (2011) cite the European Eco Management and Audit Scheme (EMAS) standard and the ISO 14000 series standards as examples of environmental management standards. These tools are designed to help companies assess and manage their environmental impact in a more structured manner. Antheaume (2013) also identifies several key tools such as life cycle analysis, environmental dashboards, environmental impact indicators, physical and energy flow accounting, and societal and environmental cost assessment techniques (Antheaume, 2013).</w:t>
      </w:r>
    </w:p>
    <w:p w:rsidR="00BF5021" w:rsidRDefault="00BF5021" w:rsidP="00BF5021">
      <w:pPr>
        <w:pStyle w:val="Corpsdetexte"/>
        <w:spacing w:line="360" w:lineRule="auto"/>
        <w:ind w:left="0"/>
      </w:pPr>
      <w:r w:rsidRPr="000D4DCD">
        <w:rPr>
          <w:lang w:val="en-US"/>
        </w:rPr>
        <w:t xml:space="preserve">The ISO 14000 family of standards is a series of standards dedicated to environmental management. According to ISO, this family of standards aims to offer a "practical toolbox to support sustainable development efforts" (ISO, 2020). </w:t>
      </w:r>
      <w:r>
        <w:t>These standards include:</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14001 (Environmental management systems), which helps companies manage the environmental impact of their activities;</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14006 (Eco-design), which governs the integration of eco-design into production processes;</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14031 (Environmental Performance Indicators), which provides indicators to measure environmental impact;</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14040 and 14044, which focus on life cycle analysis (LCA), a tool for assessing and optimizing the environmental impacts of a product throughout its life cycle;</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14051, dedicated to material flow cost accounting;</w:t>
      </w:r>
    </w:p>
    <w:p w:rsidR="00BF5021" w:rsidRPr="000D4DCD" w:rsidRDefault="00BF5021" w:rsidP="00BF5021">
      <w:pPr>
        <w:pStyle w:val="Corpsdetexte"/>
        <w:numPr>
          <w:ilvl w:val="0"/>
          <w:numId w:val="16"/>
        </w:numPr>
        <w:spacing w:line="360" w:lineRule="auto"/>
        <w:ind w:left="284" w:hanging="284"/>
        <w:rPr>
          <w:lang w:val="en-US"/>
        </w:rPr>
      </w:pPr>
      <w:r w:rsidRPr="000D4DCD">
        <w:rPr>
          <w:lang w:val="en-US"/>
        </w:rPr>
        <w:t>ISO 14064 and ISO 14065, which govern the quantification and verification of greenhouse gases (GHG).</w:t>
      </w:r>
    </w:p>
    <w:p w:rsidR="00BF5021" w:rsidRPr="000D4DCD" w:rsidRDefault="00BF5021" w:rsidP="00BF5021">
      <w:pPr>
        <w:pStyle w:val="Corpsdetexte"/>
        <w:spacing w:line="360" w:lineRule="auto"/>
        <w:ind w:left="0"/>
        <w:rPr>
          <w:lang w:val="en-US"/>
        </w:rPr>
      </w:pPr>
      <w:r w:rsidRPr="000D4DCD">
        <w:rPr>
          <w:lang w:val="en-US"/>
        </w:rPr>
        <w:t xml:space="preserve">Furthermore , the normative framework of EMAS (European Eco Management and Audit Scheme), initiated by the European Union, is distinguished by greater rigor in environmental management compared to ISO 14000. EMAS requires not only the monitoring of environmental indicators, but also the production of environmental reports audited by accredited verifiers, a continuous improvement strategy, and the involvement of employees in environmental management (European Commission, 2021). In addition, EMAS-certified companies are exempt from certain certification obligations, particularly in France, where the decree of April 24, 2012 (art. 1-IV) alleviates certain environmental communication </w:t>
      </w:r>
      <w:r w:rsidRPr="000D4DCD">
        <w:rPr>
          <w:lang w:val="en-US"/>
        </w:rPr>
        <w:lastRenderedPageBreak/>
        <w:t>obligations for these companies. The adoption of these standards, whether ISO 14000 or EMAS, requires the mobilization of the environmental accounting tools mentioned by Antheaume (2013), in particular life cycle analysis, environmental dashboards, and physical flow accounting.</w:t>
      </w:r>
    </w:p>
    <w:p w:rsidR="00E72138" w:rsidRPr="00DE24F8" w:rsidRDefault="00E72138" w:rsidP="00BF5021">
      <w:pPr>
        <w:autoSpaceDE w:val="0"/>
        <w:autoSpaceDN w:val="0"/>
        <w:adjustRightInd w:val="0"/>
        <w:rPr>
          <w:rFonts w:asciiTheme="majorBidi" w:hAnsiTheme="majorBidi" w:cstheme="majorBidi"/>
          <w:sz w:val="24"/>
          <w:szCs w:val="24"/>
        </w:rPr>
      </w:pPr>
    </w:p>
    <w:p w:rsidR="00BF5021" w:rsidRPr="00BF5021" w:rsidRDefault="00F93590" w:rsidP="00BF5021">
      <w:pPr>
        <w:pStyle w:val="Corpsdetexte"/>
        <w:numPr>
          <w:ilvl w:val="1"/>
          <w:numId w:val="15"/>
        </w:numPr>
        <w:spacing w:line="360" w:lineRule="auto"/>
        <w:ind w:left="426" w:hanging="426"/>
        <w:rPr>
          <w:b/>
          <w:bCs/>
          <w:lang w:val="en-US"/>
        </w:rPr>
      </w:pPr>
      <w:r w:rsidRPr="00BF5021">
        <w:rPr>
          <w:rFonts w:asciiTheme="majorBidi" w:hAnsiTheme="majorBidi" w:cstheme="majorBidi"/>
          <w:b/>
          <w:bCs/>
          <w:lang w:val="en-US"/>
        </w:rPr>
        <w:t>-</w:t>
      </w:r>
      <w:r w:rsidR="00BF5021" w:rsidRPr="00BF5021">
        <w:rPr>
          <w:b/>
          <w:bCs/>
          <w:lang w:val="en-US"/>
        </w:rPr>
        <w:t xml:space="preserve"> Accountants' approach to environmental issues</w:t>
      </w:r>
    </w:p>
    <w:p w:rsidR="00BF5021" w:rsidRPr="000D4DCD" w:rsidRDefault="00BF5021" w:rsidP="00BF5021">
      <w:pPr>
        <w:pStyle w:val="Corpsdetexte"/>
        <w:spacing w:line="360" w:lineRule="auto"/>
        <w:ind w:left="0"/>
        <w:rPr>
          <w:lang w:val="en-US"/>
        </w:rPr>
      </w:pPr>
      <w:r w:rsidRPr="000D4DCD">
        <w:rPr>
          <w:lang w:val="en-US"/>
        </w:rPr>
        <w:t>According to Bebbington and Larrinaga (2014), the Brundtland Report of 1987 marked a turning point for the integration of environmental considerations into economic governance, particularly in the United Kingdom. This report encouraged the British government to promote initiatives around the green economy. In this context, Bebbington et al. (1994) conducted a survey of financial directors of 1,000 British companies. The study consisted of three main sections: information on the company, environmental policies, and the perception and involvement of accountants in environmental issues. The results show that British accountants are more oriented towards financial approaches to environmental accounting than towards non-financial aspects. They mainly focus on resource management and the evaluation of environmental investments, but their involvement in environmental policies remains limited, particularly in areas such as environmental impact assessment, policy writing, and environmental audits. This study reveals a general trend: accountants recognize the importance of environmental issues, but their practical involvement in sustainable development policies remains low. Another study conducted by Deegan et al. (2018) in Australia also showed some resistance among accountants to the integration of environmental data into financial statements. The accountants surveyed are skeptical about their role in environmental reporting, considering that this task goes beyond their usual missions.</w:t>
      </w:r>
    </w:p>
    <w:p w:rsidR="00BF5021" w:rsidRPr="000D4DCD" w:rsidRDefault="00BF5021" w:rsidP="00BF5021">
      <w:pPr>
        <w:pStyle w:val="Corpsdetexte"/>
        <w:spacing w:line="360" w:lineRule="auto"/>
        <w:ind w:left="0"/>
        <w:rPr>
          <w:lang w:val="en-US"/>
        </w:rPr>
      </w:pPr>
      <w:r w:rsidRPr="000D4DCD">
        <w:rPr>
          <w:lang w:val="en-US"/>
        </w:rPr>
        <w:t>A study conducted in Hong Kong by Jaggi and Lee (2020) reveals a more positive perception of accountants regarding environmental issues. About 59% of the accountants surveyed believe that they have a role to play in managing environmental issues, in particular through the assessment of environmental risks, remediation costs, and the establishment of reporting systems. However, these accountants remain generally in favor of voluntary rather than mandatory environmental reporting.</w:t>
      </w:r>
    </w:p>
    <w:p w:rsidR="00BF5021" w:rsidRPr="000D4DCD" w:rsidRDefault="00BF5021" w:rsidP="00BF5021">
      <w:pPr>
        <w:pStyle w:val="Corpsdetexte"/>
        <w:spacing w:line="360" w:lineRule="auto"/>
        <w:ind w:left="0"/>
        <w:rPr>
          <w:lang w:val="en-US"/>
        </w:rPr>
      </w:pPr>
      <w:r w:rsidRPr="000D4DCD">
        <w:rPr>
          <w:lang w:val="en-US"/>
        </w:rPr>
        <w:t xml:space="preserve">Similarly, the Australian study by Wilmshurst and Frost (2019) highlights the reluctance of CFOs to mandate environmental reporting. Accountants appear to be poorly engaged in environmental policy development, playing a minimal role in areas such as greenhouse gas </w:t>
      </w:r>
      <w:r w:rsidRPr="000D4DCD">
        <w:rPr>
          <w:lang w:val="en-US"/>
        </w:rPr>
        <w:lastRenderedPageBreak/>
        <w:t>emissions assessment or legislative compliance strategies.</w:t>
      </w:r>
    </w:p>
    <w:p w:rsidR="00BF5021" w:rsidRPr="000D4DCD" w:rsidRDefault="00BF5021" w:rsidP="00BF5021">
      <w:pPr>
        <w:pStyle w:val="Corpsdetexte"/>
        <w:spacing w:line="360" w:lineRule="auto"/>
        <w:ind w:left="0"/>
        <w:rPr>
          <w:lang w:val="en-US"/>
        </w:rPr>
      </w:pPr>
      <w:r w:rsidRPr="000D4DCD">
        <w:rPr>
          <w:lang w:val="en-US"/>
        </w:rPr>
        <w:t>In developing countries, Lodhia (2020) conducted a study in Fiji, examining accountants’ perceptions of environmental issues. The study shows that, although accountants express an overall positive perception of environmental issues, their involvement in environmental accounting is low. Interviews with accountants in practice and in companies revealed a lack of active participation in environmental audit engagements or reporting initiatives. Lodhia concludes that awareness raising and skills building are needed to increase accountants’ involvement in these areas. Kuasirikun’s (2021) study of accountants in Thailand produced similar results. Although accountants recognize the importance of social and environmental responsibility, they do not see themselves as central actors in these areas. Their role remains focused on the production of financial information, and their involvement in sustainable development initiatives largely depends on the will of their organizations.</w:t>
      </w:r>
    </w:p>
    <w:p w:rsidR="00BF5021" w:rsidRPr="000D4DCD" w:rsidRDefault="00BF5021" w:rsidP="00BF5021">
      <w:pPr>
        <w:pStyle w:val="Corpsdetexte"/>
        <w:spacing w:line="360" w:lineRule="auto"/>
        <w:ind w:left="0"/>
        <w:rPr>
          <w:lang w:val="en-US"/>
        </w:rPr>
      </w:pPr>
      <w:r w:rsidRPr="000D4DCD">
        <w:rPr>
          <w:lang w:val="en-US"/>
        </w:rPr>
        <w:t>Zulkifli and Amran (2020) conducted a study in Malaysia that confirms these results. The accountants surveyed had limited knowledge of environmental and social accounting, although they recognize its growing importance. The study highlights the need for a stronger regulatory framework to encourage greater participation of accountants in these efforts.</w:t>
      </w:r>
    </w:p>
    <w:p w:rsidR="00BF5021" w:rsidRPr="000D4DCD" w:rsidRDefault="00BF5021" w:rsidP="00BF5021">
      <w:pPr>
        <w:pStyle w:val="Corpsdetexte"/>
        <w:spacing w:line="360" w:lineRule="auto"/>
        <w:ind w:left="0"/>
        <w:rPr>
          <w:lang w:val="en-US"/>
        </w:rPr>
      </w:pPr>
      <w:r w:rsidRPr="000D4DCD">
        <w:rPr>
          <w:lang w:val="en-US"/>
        </w:rPr>
        <w:t>In France, Lafontaine (2022) conducted a qualitative study in seven ISO 14001-certified companies. His results show that the role of accountants in environmental management is still marginal, often relegated to specialized environmental departments. He observed some cases of accountants playing a more active role, particularly in monitoring environmental actions, but these profiles remain rare.</w:t>
      </w:r>
    </w:p>
    <w:p w:rsidR="00BF5021" w:rsidRPr="000D4DCD" w:rsidRDefault="00BF5021" w:rsidP="00BF5021">
      <w:pPr>
        <w:pStyle w:val="Corpsdetexte"/>
        <w:spacing w:line="360" w:lineRule="auto"/>
        <w:ind w:left="0"/>
        <w:rPr>
          <w:lang w:val="en-US"/>
        </w:rPr>
      </w:pPr>
      <w:r w:rsidRPr="000D4DCD">
        <w:rPr>
          <w:lang w:val="en-US"/>
        </w:rPr>
        <w:t>The study conducted in Bangladesh by Islam and Adams (2021) reveals a positive perception of environmental issues among accountants, but a weak application in practice. Although accountants are aware of the issues, environmental accounting is not yet significantly integrated into their daily work.</w:t>
      </w:r>
    </w:p>
    <w:p w:rsidR="00BF5021" w:rsidRPr="000D4DCD" w:rsidRDefault="00BF5021" w:rsidP="00BF5021">
      <w:pPr>
        <w:pStyle w:val="Corpsdetexte"/>
        <w:spacing w:line="360" w:lineRule="auto"/>
        <w:ind w:left="0"/>
        <w:rPr>
          <w:lang w:val="en-US"/>
        </w:rPr>
      </w:pPr>
      <w:r w:rsidRPr="000D4DCD">
        <w:rPr>
          <w:lang w:val="en-US"/>
        </w:rPr>
        <w:t xml:space="preserve">In Syria, the study by Kamla et al. </w:t>
      </w:r>
      <w:r w:rsidRPr="00BF5021">
        <w:rPr>
          <w:lang w:val="en-US"/>
        </w:rPr>
        <w:t xml:space="preserve">(2020) confirms these trends. </w:t>
      </w:r>
      <w:r w:rsidRPr="000D4DCD">
        <w:rPr>
          <w:lang w:val="en-US"/>
        </w:rPr>
        <w:t>Although Syrian accountants recognize the importance of environmental and social issues, their involvement remains limited, hampered by organizational structures that continue to privilege economic aspects.</w:t>
      </w:r>
    </w:p>
    <w:p w:rsidR="00BF5021" w:rsidRPr="000D4DCD" w:rsidRDefault="00BF5021" w:rsidP="00BF5021">
      <w:pPr>
        <w:pStyle w:val="Corpsdetexte"/>
        <w:spacing w:line="360" w:lineRule="auto"/>
        <w:ind w:left="0"/>
        <w:rPr>
          <w:lang w:val="en-US"/>
        </w:rPr>
      </w:pPr>
      <w:r w:rsidRPr="000D4DCD">
        <w:rPr>
          <w:lang w:val="en-US"/>
        </w:rPr>
        <w:t xml:space="preserve">However, some recent research shows an evolution. Renaud (2022) presented a case study highlighting the emerging role of accountants in companies where environmental management becomes strategic. In these cases, accountants act not only as CO2 auditors but also as management partners, translating environmental issues into financial terms and </w:t>
      </w:r>
      <w:r w:rsidRPr="000D4DCD">
        <w:rPr>
          <w:lang w:val="en-US"/>
        </w:rPr>
        <w:lastRenderedPageBreak/>
        <w:t>actively contributing to organizational change.</w:t>
      </w:r>
    </w:p>
    <w:p w:rsidR="00BF5021" w:rsidRPr="000D4DCD" w:rsidRDefault="00BF5021" w:rsidP="00BF5021">
      <w:pPr>
        <w:pStyle w:val="Corpsdetexte"/>
        <w:spacing w:line="360" w:lineRule="auto"/>
        <w:ind w:left="0"/>
        <w:rPr>
          <w:lang w:val="en-US"/>
        </w:rPr>
      </w:pPr>
      <w:r w:rsidRPr="000D4DCD">
        <w:rPr>
          <w:lang w:val="en-US"/>
        </w:rPr>
        <w:t>fFinally, a global survey conducted in 2021 by the Association of International Certified Professional Accountants (AICPA) and the Chartered Institute of Management Accountants (CIMA) highlighted a significant shift in accountants’ perceptions of environmental issues. More than 60% of accountants surveyed now believe that environmental factors should be integrated into decision-making processes. However, only 45% of respondents actually integrate this information into their financial reports. The study highlights that African and Asian accountants are among the most sensitive to these issues, while their counterparts in Europe and the United States are slower to adopt these practices.</w:t>
      </w:r>
    </w:p>
    <w:p w:rsidR="00BF5021" w:rsidRPr="000D4DCD" w:rsidRDefault="00BF5021" w:rsidP="00BF5021">
      <w:pPr>
        <w:pStyle w:val="Corpsdetexte"/>
        <w:spacing w:line="360" w:lineRule="auto"/>
        <w:ind w:left="0"/>
        <w:rPr>
          <w:lang w:val="en-US"/>
        </w:rPr>
      </w:pPr>
      <w:r w:rsidRPr="000D4DCD">
        <w:rPr>
          <w:lang w:val="en-US"/>
        </w:rPr>
        <w:t>Although the majority of accountants recognize the importance of environmental issues, their involvement remains limited due to organizational factors, a lack of regulation or specific skills. Strengthening legislative frameworks and specific training could help to further mobilize accountants in sustainable development initiatives.</w:t>
      </w:r>
    </w:p>
    <w:p w:rsidR="00BF5021" w:rsidRDefault="00BF5021" w:rsidP="00BF5021">
      <w:pPr>
        <w:pStyle w:val="Titre1"/>
        <w:numPr>
          <w:ilvl w:val="0"/>
          <w:numId w:val="15"/>
        </w:numPr>
        <w:tabs>
          <w:tab w:val="left" w:pos="284"/>
        </w:tabs>
        <w:spacing w:line="360" w:lineRule="auto"/>
        <w:ind w:left="284" w:hanging="284"/>
        <w:jc w:val="left"/>
      </w:pPr>
      <w:r>
        <w:t>R</w:t>
      </w:r>
      <w:r w:rsidRPr="005C2A41">
        <w:t>esearch methodology</w:t>
      </w:r>
    </w:p>
    <w:p w:rsidR="00BF5021" w:rsidRPr="000D4DCD" w:rsidRDefault="00BF5021" w:rsidP="00BF5021">
      <w:pPr>
        <w:pStyle w:val="Corpsdetexte"/>
        <w:spacing w:line="360" w:lineRule="auto"/>
        <w:ind w:left="0"/>
        <w:rPr>
          <w:lang w:val="en-US"/>
        </w:rPr>
      </w:pPr>
      <w:r w:rsidRPr="000D4DCD">
        <w:rPr>
          <w:lang w:val="en-US"/>
        </w:rPr>
        <w:t xml:space="preserve">In this study, the research method adopted is inspired by the approach implemented by Bebbington et al. </w:t>
      </w:r>
      <w:r w:rsidRPr="00BF5021">
        <w:rPr>
          <w:lang w:val="en-US"/>
        </w:rPr>
        <w:t xml:space="preserve">(1994). </w:t>
      </w:r>
      <w:r w:rsidRPr="000D4DCD">
        <w:rPr>
          <w:lang w:val="en-US"/>
        </w:rPr>
        <w:t>We conducted a questionnaire survey among Tunisian accountants, subdivided into three parts: 1) sociological data, 2) perceptions of accountants regarding environmental issues, and 3) the use of environmental management and accounting tools by accountants.</w:t>
      </w:r>
    </w:p>
    <w:p w:rsidR="00BF5021" w:rsidRPr="000D4DCD" w:rsidRDefault="00BF5021" w:rsidP="00BF5021">
      <w:pPr>
        <w:pStyle w:val="Corpsdetexte"/>
        <w:spacing w:line="360" w:lineRule="auto"/>
        <w:ind w:left="0"/>
        <w:rPr>
          <w:lang w:val="en-US"/>
        </w:rPr>
      </w:pPr>
      <w:r w:rsidRPr="000D4DCD">
        <w:rPr>
          <w:lang w:val="en-US"/>
        </w:rPr>
        <w:t>The first part of the questionnaire collects data on: gender, age, employer, job title, location of the job, size of the organization, stock market listing, sector of activity, seniority, knowledge of the concept of social responsibility, and the formalization of social responsibility within the organization.</w:t>
      </w:r>
    </w:p>
    <w:p w:rsidR="00BF5021" w:rsidRPr="000D4DCD" w:rsidRDefault="00BF5021" w:rsidP="00BF5021">
      <w:pPr>
        <w:pStyle w:val="Corpsdetexte"/>
        <w:spacing w:line="360" w:lineRule="auto"/>
        <w:ind w:left="0"/>
        <w:rPr>
          <w:lang w:val="en-US"/>
        </w:rPr>
      </w:pPr>
      <w:r w:rsidRPr="000D4DCD">
        <w:rPr>
          <w:lang w:val="en-US"/>
        </w:rPr>
        <w:t xml:space="preserve">The second part aimed to measure accountants' perceptions regarding environmental accounting issues. To achieve this, we utilized the grid developed by Bebbington et al. (1994), which assesses perceptions based on 20 items associated with four indicators: 1) Perception of the Standardization of Environmental Accounting (PNCE variable), 2) Perception of the Control Role of Third Parties (PRCT variable), 3) Justifications for not adopting Environmental Accounting (ECE variable), and 4) Perception of the Role of Accountants in Environmental Accounting (PRCE variable). These items evaluate the general perception stakeholders have regarding environmental accounting issues, applicable in both developed and developing countries, which we deemed suitable for the Tunisian context without </w:t>
      </w:r>
      <w:r w:rsidRPr="000D4DCD">
        <w:rPr>
          <w:lang w:val="en-US"/>
        </w:rPr>
        <w:lastRenderedPageBreak/>
        <w:t>substantial modifications. In this section, respondents rated their agreement with each of the 20 statements on a scale from 1 to 5 (1 = Strongly Disagree, 2 = Disagree, 3 = Neutral, 4 = Agree, 5 = Strongly Agree).</w:t>
      </w:r>
    </w:p>
    <w:p w:rsidR="00BF5021" w:rsidRPr="000D4DCD" w:rsidRDefault="00BF5021" w:rsidP="00BF5021">
      <w:pPr>
        <w:pStyle w:val="Corpsdetexte"/>
        <w:spacing w:line="360" w:lineRule="auto"/>
        <w:ind w:left="0"/>
        <w:rPr>
          <w:lang w:val="en-US"/>
        </w:rPr>
      </w:pPr>
      <w:r w:rsidRPr="000D4DCD">
        <w:rPr>
          <w:lang w:val="en-US"/>
        </w:rPr>
        <w:t>Finally, the third part measured the use of environmental management tools by accountants. Respondents rated the frequency of their use of various environmental management tools in their organizations on a scale from 1 to 5 (1 = Never Used, 2 = Rarely Used, 3 = Occasionally Used, 4 = Frequently Used, 5 = Very Frequently Used). The environmental management and accounting tools tested included: the EMAS standard, ISO 14000 standards, environmental dashboards, techniques for assessing environmental and societal costs, physical accounting, the ISO 26000 standard, environmental balance sheets, and reporting standards like AA 1000 and GRI (Antheaume, 2021; Essid &amp; Berland, 2020; Joshi &amp; Krishnan, 2019).</w:t>
      </w:r>
    </w:p>
    <w:p w:rsidR="00BF5021" w:rsidRPr="000D4DCD" w:rsidRDefault="00BF5021" w:rsidP="00BF5021">
      <w:pPr>
        <w:pStyle w:val="Corpsdetexte"/>
        <w:spacing w:line="360" w:lineRule="auto"/>
        <w:ind w:left="0"/>
        <w:rPr>
          <w:lang w:val="en-US"/>
        </w:rPr>
      </w:pPr>
      <w:r w:rsidRPr="000D4DCD">
        <w:rPr>
          <w:lang w:val="en-US"/>
        </w:rPr>
        <w:t>This questionnaire was pre-tested with a management sciences researcher, a former management controller, and a practicing accountant. Following the pre-test, we distributed a solicitation message using the "snowball" approach to accounting contacts via various networking applications (Facebook, WhatsApp) in 2023. This sampling technique was necessary due to the absence of a comprehensive database listing all Tunisian accountants. The approach aimed to reach as many Tunisian accountants as possible, starting from identified contacts. A link to the questionnaire was included in the message, directing respondents to the Google Forms application. Additionally, we received support from the Order of Chartered Accountants, whose president kindly distributed the questionnaire to members via email in 2023.</w:t>
      </w:r>
    </w:p>
    <w:p w:rsidR="00BF5021" w:rsidRPr="000D4DCD" w:rsidRDefault="00BF5021" w:rsidP="00BF5021">
      <w:pPr>
        <w:pStyle w:val="Corpsdetexte"/>
        <w:spacing w:line="360" w:lineRule="auto"/>
        <w:ind w:left="0"/>
        <w:rPr>
          <w:lang w:val="en-US"/>
        </w:rPr>
      </w:pPr>
      <w:r w:rsidRPr="000D4DCD">
        <w:rPr>
          <w:lang w:val="en-US"/>
        </w:rPr>
        <w:t>After distribution, several follow-up phone calls were made by one of the authors, a teacher-researcher and member of the Order of Chartered Accountants. The questionnaire was distributed electronically from February 1, 2023, to June 30, 2023. A total of 88 responses were received; however, after analyzing the respondents' functions and checking for duplicates, we excluded 8 responses. Ultimately, 80 responses were analyzed as part of this study. Data processing was performed using Microsoft Excel and SPSS software.</w:t>
      </w:r>
    </w:p>
    <w:p w:rsidR="00BF5021" w:rsidRPr="000D4DCD" w:rsidRDefault="00BF5021" w:rsidP="00BF5021">
      <w:pPr>
        <w:pStyle w:val="Corpsdetexte"/>
        <w:spacing w:line="360" w:lineRule="auto"/>
        <w:ind w:left="0"/>
        <w:jc w:val="left"/>
        <w:rPr>
          <w:lang w:val="en-US"/>
        </w:rPr>
      </w:pPr>
    </w:p>
    <w:p w:rsidR="00460855" w:rsidRPr="00080AA1" w:rsidRDefault="00460855" w:rsidP="00080AA1">
      <w:pPr>
        <w:autoSpaceDE w:val="0"/>
        <w:autoSpaceDN w:val="0"/>
        <w:adjustRightInd w:val="0"/>
        <w:rPr>
          <w:rFonts w:asciiTheme="majorBidi" w:hAnsiTheme="majorBidi" w:cstheme="majorBidi"/>
          <w:b/>
          <w:bCs/>
          <w:sz w:val="24"/>
          <w:szCs w:val="24"/>
          <w:lang w:val="en-US"/>
        </w:rPr>
      </w:pPr>
    </w:p>
    <w:p w:rsidR="00080AA1" w:rsidRDefault="00080AA1" w:rsidP="00080AA1">
      <w:pPr>
        <w:pStyle w:val="Corpsdetexte"/>
        <w:numPr>
          <w:ilvl w:val="0"/>
          <w:numId w:val="15"/>
        </w:numPr>
        <w:tabs>
          <w:tab w:val="left" w:pos="284"/>
        </w:tabs>
        <w:spacing w:line="360" w:lineRule="auto"/>
        <w:ind w:left="0" w:firstLine="0"/>
        <w:jc w:val="left"/>
        <w:rPr>
          <w:b/>
        </w:rPr>
      </w:pPr>
      <w:r>
        <w:rPr>
          <w:b/>
        </w:rPr>
        <w:t>S</w:t>
      </w:r>
      <w:r w:rsidRPr="00A61D0D">
        <w:rPr>
          <w:b/>
        </w:rPr>
        <w:t>earch results</w:t>
      </w:r>
    </w:p>
    <w:p w:rsidR="00080AA1" w:rsidRPr="00080AA1" w:rsidRDefault="00080AA1" w:rsidP="00080AA1">
      <w:pPr>
        <w:pStyle w:val="Titre2"/>
        <w:keepNext w:val="0"/>
        <w:keepLines w:val="0"/>
        <w:widowControl w:val="0"/>
        <w:numPr>
          <w:ilvl w:val="1"/>
          <w:numId w:val="15"/>
        </w:numPr>
        <w:tabs>
          <w:tab w:val="left" w:pos="567"/>
        </w:tabs>
        <w:autoSpaceDE w:val="0"/>
        <w:autoSpaceDN w:val="0"/>
        <w:spacing w:before="0"/>
        <w:ind w:left="0" w:firstLine="0"/>
        <w:rPr>
          <w:color w:val="auto"/>
        </w:rPr>
      </w:pPr>
      <w:r w:rsidRPr="00080AA1">
        <w:rPr>
          <w:color w:val="auto"/>
        </w:rPr>
        <w:t>Sample characteristics</w:t>
      </w:r>
    </w:p>
    <w:p w:rsidR="00080AA1" w:rsidRPr="000D4DCD" w:rsidRDefault="00080AA1" w:rsidP="00080AA1">
      <w:pPr>
        <w:pStyle w:val="Corpsdetexte"/>
        <w:spacing w:line="360" w:lineRule="auto"/>
        <w:ind w:left="0"/>
        <w:rPr>
          <w:lang w:val="en-US"/>
        </w:rPr>
      </w:pPr>
      <w:r w:rsidRPr="000D4DCD">
        <w:rPr>
          <w:lang w:val="en-US"/>
        </w:rPr>
        <w:t xml:space="preserve">The sample of respondents is composed of 72 men (90%) and 8 women (10%). This is a </w:t>
      </w:r>
      <w:r w:rsidRPr="000D4DCD">
        <w:rPr>
          <w:lang w:val="en-US"/>
        </w:rPr>
        <w:lastRenderedPageBreak/>
        <w:t>largely male sample. In the absence of other statistical data on the subject, this is the first significant result of our survey; it would seem that the accounting profession is still largely male in Tunisia. This aspect would deserve to be studied more specifically in future work.</w:t>
      </w:r>
    </w:p>
    <w:p w:rsidR="00080AA1" w:rsidRPr="000D4DCD" w:rsidRDefault="00080AA1" w:rsidP="00080AA1">
      <w:pPr>
        <w:pStyle w:val="Corpsdetexte"/>
        <w:spacing w:line="360" w:lineRule="auto"/>
        <w:ind w:left="0"/>
        <w:rPr>
          <w:lang w:val="en-US"/>
        </w:rPr>
      </w:pPr>
      <w:r w:rsidRPr="000D4DCD">
        <w:rPr>
          <w:lang w:val="en-US"/>
        </w:rPr>
        <w:t>Beyond that, 12 respondents are under 30 years old (15%), 36 are between 30 and 39 years old (45%), 24 between 40 and 49 years old (30%) and 8 respondents are 49 years old and over (10%). This is a sample in which 85% of individuals are at least 30 years old. This reflects a certain maturity of the sample. This is also confirmed by seniority since only 10% of respondents have held an accounting position for less than 1 year. 30% have held their position for 1 to 5 years, 25% for 5 to 10 years, 35% for 11 years or more.</w:t>
      </w:r>
    </w:p>
    <w:p w:rsidR="00080AA1" w:rsidRPr="000D4DCD" w:rsidRDefault="00080AA1" w:rsidP="00080AA1">
      <w:pPr>
        <w:pStyle w:val="Corpsdetexte"/>
        <w:spacing w:line="360" w:lineRule="auto"/>
        <w:ind w:left="0"/>
        <w:rPr>
          <w:lang w:val="en-US"/>
        </w:rPr>
      </w:pPr>
      <w:r w:rsidRPr="000D4DCD">
        <w:rPr>
          <w:lang w:val="en-US"/>
        </w:rPr>
        <w:t>More specifically, regarding positions, 60% of respondents work in an accounting and auditing firm, 5% are accountants in the civil service, and 35% are accountants in a private organization.</w:t>
      </w:r>
    </w:p>
    <w:p w:rsidR="00080AA1" w:rsidRPr="000D4DCD" w:rsidRDefault="00080AA1" w:rsidP="00080AA1">
      <w:pPr>
        <w:pStyle w:val="Corpsdetexte"/>
        <w:spacing w:line="360" w:lineRule="auto"/>
        <w:ind w:left="0"/>
        <w:rPr>
          <w:lang w:val="en-US"/>
        </w:rPr>
      </w:pPr>
      <w:r w:rsidRPr="000D4DCD">
        <w:rPr>
          <w:lang w:val="en-US"/>
        </w:rPr>
        <w:t>Another notable element concerning the sample is that 25% of respondents say they work in an organization implementing a formal sustainable development strategy. Finally, the sample is mainly located in the capital, Tunis (70%), while the rest (30%) are in Sfax.</w:t>
      </w:r>
    </w:p>
    <w:p w:rsidR="00080AA1" w:rsidRPr="000D4DCD" w:rsidRDefault="00080AA1" w:rsidP="00080AA1">
      <w:pPr>
        <w:pStyle w:val="Corpsdetexte"/>
        <w:spacing w:line="360" w:lineRule="auto"/>
        <w:ind w:left="0"/>
        <w:rPr>
          <w:lang w:val="en-US"/>
        </w:rPr>
      </w:pPr>
    </w:p>
    <w:p w:rsidR="00080AA1" w:rsidRPr="00C85021" w:rsidRDefault="00080AA1" w:rsidP="00080AA1">
      <w:pPr>
        <w:pStyle w:val="Corpsdetexte"/>
        <w:numPr>
          <w:ilvl w:val="1"/>
          <w:numId w:val="15"/>
        </w:numPr>
        <w:spacing w:line="360" w:lineRule="auto"/>
        <w:ind w:left="426" w:hanging="426"/>
        <w:rPr>
          <w:b/>
          <w:bCs/>
        </w:rPr>
      </w:pPr>
      <w:r w:rsidRPr="00C85021">
        <w:rPr>
          <w:b/>
          <w:bCs/>
        </w:rPr>
        <w:t>Perception of environmental issues</w:t>
      </w:r>
    </w:p>
    <w:p w:rsidR="00080AA1" w:rsidRPr="000D4DCD" w:rsidRDefault="00080AA1" w:rsidP="00080AA1">
      <w:pPr>
        <w:pStyle w:val="Corpsdetexte"/>
        <w:spacing w:line="360" w:lineRule="auto"/>
        <w:ind w:left="0"/>
        <w:rPr>
          <w:lang w:val="en-US"/>
        </w:rPr>
      </w:pPr>
      <w:r w:rsidRPr="000D4DCD">
        <w:rPr>
          <w:lang w:val="en-US"/>
        </w:rPr>
        <w:t>To assess accountants' perceptions of environmental issues, we used the Bebbington et al. (1994) grid, which allows items to be grouped according to four main themes:</w:t>
      </w:r>
    </w:p>
    <w:p w:rsidR="00080AA1" w:rsidRPr="000D4DCD" w:rsidRDefault="00080AA1" w:rsidP="00080AA1">
      <w:pPr>
        <w:pStyle w:val="Corpsdetexte"/>
        <w:numPr>
          <w:ilvl w:val="0"/>
          <w:numId w:val="17"/>
        </w:numPr>
        <w:spacing w:line="360" w:lineRule="auto"/>
        <w:ind w:left="284" w:hanging="284"/>
        <w:rPr>
          <w:lang w:val="en-US"/>
        </w:rPr>
      </w:pPr>
      <w:r w:rsidRPr="000D4DCD">
        <w:rPr>
          <w:lang w:val="en-US"/>
        </w:rPr>
        <w:t>Excuses for not adopting environmental accounting (variable "EEA", items 1-5),</w:t>
      </w:r>
    </w:p>
    <w:p w:rsidR="00080AA1" w:rsidRPr="000D4DCD" w:rsidRDefault="00080AA1" w:rsidP="00080AA1">
      <w:pPr>
        <w:pStyle w:val="Corpsdetexte"/>
        <w:numPr>
          <w:ilvl w:val="0"/>
          <w:numId w:val="17"/>
        </w:numPr>
        <w:spacing w:line="360" w:lineRule="auto"/>
        <w:ind w:left="284" w:hanging="284"/>
        <w:rPr>
          <w:lang w:val="en-US"/>
        </w:rPr>
      </w:pPr>
      <w:r w:rsidRPr="000D4DCD">
        <w:rPr>
          <w:lang w:val="en-US"/>
        </w:rPr>
        <w:t>Perception of the role of accountants in environmental accounting (variable "PRAE", items 6-12),</w:t>
      </w:r>
    </w:p>
    <w:p w:rsidR="00080AA1" w:rsidRPr="000D4DCD" w:rsidRDefault="00080AA1" w:rsidP="00080AA1">
      <w:pPr>
        <w:pStyle w:val="Corpsdetexte"/>
        <w:numPr>
          <w:ilvl w:val="0"/>
          <w:numId w:val="17"/>
        </w:numPr>
        <w:spacing w:line="360" w:lineRule="auto"/>
        <w:ind w:left="284" w:hanging="284"/>
        <w:rPr>
          <w:lang w:val="en-US"/>
        </w:rPr>
      </w:pPr>
      <w:r w:rsidRPr="000D4DCD">
        <w:rPr>
          <w:lang w:val="en-US"/>
        </w:rPr>
        <w:t>Perception of the role of third parties in controlling (variable "PRTPC", items 13-15),</w:t>
      </w:r>
    </w:p>
    <w:p w:rsidR="00080AA1" w:rsidRPr="000D4DCD" w:rsidRDefault="00080AA1" w:rsidP="00080AA1">
      <w:pPr>
        <w:pStyle w:val="Corpsdetexte"/>
        <w:numPr>
          <w:ilvl w:val="0"/>
          <w:numId w:val="17"/>
        </w:numPr>
        <w:spacing w:line="360" w:lineRule="auto"/>
        <w:ind w:left="284" w:hanging="284"/>
        <w:rPr>
          <w:lang w:val="en-US"/>
        </w:rPr>
      </w:pPr>
      <w:r w:rsidRPr="000D4DCD">
        <w:rPr>
          <w:lang w:val="en-US"/>
        </w:rPr>
        <w:t>Perception of the standardization of environmental accounting (variable "PSEA", items 16-20).</w:t>
      </w:r>
    </w:p>
    <w:p w:rsidR="00080AA1" w:rsidRPr="00080AA1" w:rsidRDefault="00080AA1" w:rsidP="00080AA1">
      <w:pPr>
        <w:pStyle w:val="Titre2"/>
        <w:spacing w:before="120" w:after="120"/>
        <w:ind w:right="130"/>
        <w:rPr>
          <w:rFonts w:asciiTheme="majorBidi" w:hAnsiTheme="majorBidi"/>
          <w:b w:val="0"/>
          <w:bCs w:val="0"/>
          <w:color w:val="auto"/>
          <w:sz w:val="24"/>
          <w:szCs w:val="24"/>
          <w:lang w:val="en-US"/>
        </w:rPr>
      </w:pPr>
      <w:r w:rsidRPr="00080AA1">
        <w:rPr>
          <w:rFonts w:asciiTheme="majorBidi" w:hAnsiTheme="majorBidi"/>
          <w:b w:val="0"/>
          <w:bCs w:val="0"/>
          <w:color w:val="auto"/>
          <w:sz w:val="24"/>
          <w:szCs w:val="24"/>
          <w:lang w:val="en-US"/>
        </w:rPr>
        <w:lastRenderedPageBreak/>
        <w:t>Regarding excuses for not getting involved in environmental issues (EEA variable), Tunisian accountants mostly think that they should not limit their roles to processing economic data (85%) and emphasize their interest in environmental issues (95%). However, a majority also think that producing environmental information represents an unbearable additional cost for organizations (75%), that there are already many changes regarding accounting regulations (80%), and that the accounting profession is already very demanding without environmental obligations (75%). We can therefore note the ambivalent nature of perceptions regarding excuses. Without being opposed to environmental reporting, they do not want a revolution in their profession. Regarding perceptions of the standardization of environmental accounting (PRAE variable), Tunisian accountants mostly believe that the order of chartered accountants should standardize environmental matters (70%), and that national and regional authorities should legislate on the matter (&gt;85%). The high scores of Tunisianaccountants, concerning the role of third-party control (PRTPC variable) and the role of accountants in environmental accounting (PRAE variable), reinforce the overall positive perception they have of environmental issues and their role in this area. Indeed, 90% of them think that accountants should contribute to environmental policy, 85% think that accountants should produce environmental reports for managers, 75% think that the production of environmental reports will soon become common practice and 65% think that accountants should be leaders in environmental reporting (PRAE variable). 95% believe that third parties have the right to be informed about the environmental impact of organizations, 90% believe that shareholders need environmental information, and 95% believe that the dissemination of information on environmental impact would improve the economic environment (PSEA variable).</w:t>
      </w:r>
    </w:p>
    <w:p w:rsidR="00080AA1" w:rsidRDefault="00080AA1" w:rsidP="00080AA1">
      <w:pPr>
        <w:pStyle w:val="Titre2"/>
        <w:spacing w:before="120" w:after="120"/>
        <w:ind w:right="130"/>
        <w:jc w:val="left"/>
        <w:rPr>
          <w:rFonts w:asciiTheme="majorBidi" w:hAnsiTheme="majorBidi"/>
          <w:b w:val="0"/>
          <w:bCs w:val="0"/>
          <w:color w:val="auto"/>
          <w:sz w:val="24"/>
          <w:szCs w:val="24"/>
          <w:lang w:val="en-US"/>
        </w:rPr>
      </w:pPr>
      <w:r w:rsidRPr="00080AA1">
        <w:rPr>
          <w:rFonts w:asciiTheme="majorBidi" w:hAnsiTheme="majorBidi"/>
          <w:b w:val="0"/>
          <w:bCs w:val="0"/>
          <w:color w:val="auto"/>
          <w:sz w:val="24"/>
          <w:szCs w:val="24"/>
          <w:lang w:val="en-US"/>
        </w:rPr>
        <w:t>Beyond this descriptive analysis of accountants' perceptions, we tried to assess the influence of various sociological factors on the measured perceptions (see Table 1).</w:t>
      </w:r>
    </w:p>
    <w:p w:rsidR="00080AA1" w:rsidRDefault="00080AA1" w:rsidP="00080AA1">
      <w:pPr>
        <w:rPr>
          <w:lang w:val="en-US"/>
        </w:rPr>
      </w:pPr>
    </w:p>
    <w:p w:rsidR="00080AA1" w:rsidRDefault="00080AA1" w:rsidP="00080AA1">
      <w:pPr>
        <w:rPr>
          <w:lang w:val="en-US"/>
        </w:rPr>
      </w:pPr>
    </w:p>
    <w:p w:rsidR="00080AA1" w:rsidRDefault="00080AA1" w:rsidP="00080AA1">
      <w:pPr>
        <w:rPr>
          <w:lang w:val="en-US"/>
        </w:rPr>
      </w:pPr>
    </w:p>
    <w:p w:rsidR="00080AA1" w:rsidRPr="00080AA1" w:rsidRDefault="00080AA1" w:rsidP="00080AA1">
      <w:pPr>
        <w:rPr>
          <w:lang w:val="en-US"/>
        </w:rPr>
      </w:pPr>
    </w:p>
    <w:p w:rsidR="00080AA1" w:rsidRPr="000D4DCD" w:rsidRDefault="00080AA1" w:rsidP="00080AA1">
      <w:pPr>
        <w:pStyle w:val="Titre2"/>
        <w:spacing w:before="120" w:after="120"/>
        <w:ind w:right="130"/>
        <w:jc w:val="center"/>
        <w:rPr>
          <w:color w:val="000000" w:themeColor="text1"/>
          <w:lang w:val="en-US"/>
        </w:rPr>
      </w:pPr>
      <w:r w:rsidRPr="000D4DCD">
        <w:rPr>
          <w:color w:val="000000" w:themeColor="text1"/>
          <w:lang w:val="en-US"/>
        </w:rPr>
        <w:lastRenderedPageBreak/>
        <w:t>Table 1: Score of perception variables according to various sociological factors</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148"/>
        <w:gridCol w:w="3111"/>
        <w:gridCol w:w="1134"/>
        <w:gridCol w:w="1134"/>
        <w:gridCol w:w="1097"/>
        <w:gridCol w:w="1029"/>
      </w:tblGrid>
      <w:tr w:rsidR="00080AA1" w:rsidTr="0060584B">
        <w:trPr>
          <w:trHeight w:val="829"/>
          <w:jc w:val="center"/>
        </w:trPr>
        <w:tc>
          <w:tcPr>
            <w:tcW w:w="5259" w:type="dxa"/>
            <w:gridSpan w:val="2"/>
            <w:shd w:val="clear" w:color="auto" w:fill="auto"/>
          </w:tcPr>
          <w:p w:rsidR="00080AA1" w:rsidRPr="000D4DCD" w:rsidRDefault="00080AA1" w:rsidP="0060584B">
            <w:pPr>
              <w:pStyle w:val="TableParagraph"/>
              <w:spacing w:before="1" w:line="240" w:lineRule="auto"/>
              <w:jc w:val="left"/>
              <w:rPr>
                <w:b/>
                <w:sz w:val="24"/>
              </w:rPr>
            </w:pPr>
          </w:p>
          <w:p w:rsidR="00080AA1" w:rsidRDefault="00080AA1" w:rsidP="0060584B">
            <w:pPr>
              <w:pStyle w:val="TableParagraph"/>
              <w:spacing w:line="240" w:lineRule="auto"/>
              <w:ind w:left="14"/>
              <w:rPr>
                <w:b/>
                <w:sz w:val="24"/>
              </w:rPr>
            </w:pPr>
            <w:r>
              <w:rPr>
                <w:b/>
                <w:spacing w:val="-2"/>
                <w:sz w:val="24"/>
              </w:rPr>
              <w:t>Factors</w:t>
            </w:r>
          </w:p>
        </w:tc>
        <w:tc>
          <w:tcPr>
            <w:tcW w:w="1134" w:type="dxa"/>
            <w:shd w:val="clear" w:color="auto" w:fill="auto"/>
            <w:vAlign w:val="center"/>
          </w:tcPr>
          <w:p w:rsidR="00080AA1" w:rsidRDefault="00080AA1" w:rsidP="0060584B">
            <w:pPr>
              <w:pStyle w:val="TableParagraph"/>
              <w:spacing w:line="270" w:lineRule="atLeast"/>
              <w:rPr>
                <w:b/>
                <w:sz w:val="24"/>
              </w:rPr>
            </w:pPr>
            <w:r>
              <w:rPr>
                <w:b/>
                <w:spacing w:val="-4"/>
                <w:sz w:val="24"/>
              </w:rPr>
              <w:t>Moy Sc. EEA</w:t>
            </w:r>
          </w:p>
        </w:tc>
        <w:tc>
          <w:tcPr>
            <w:tcW w:w="1134" w:type="dxa"/>
            <w:shd w:val="clear" w:color="auto" w:fill="auto"/>
            <w:vAlign w:val="center"/>
          </w:tcPr>
          <w:p w:rsidR="00080AA1" w:rsidRDefault="00080AA1" w:rsidP="0060584B">
            <w:pPr>
              <w:pStyle w:val="TableParagraph"/>
              <w:spacing w:line="270" w:lineRule="atLeast"/>
              <w:rPr>
                <w:b/>
                <w:sz w:val="24"/>
              </w:rPr>
            </w:pPr>
            <w:r>
              <w:rPr>
                <w:b/>
                <w:spacing w:val="-4"/>
                <w:sz w:val="24"/>
              </w:rPr>
              <w:t>Moy Sc. PRAE</w:t>
            </w:r>
          </w:p>
        </w:tc>
        <w:tc>
          <w:tcPr>
            <w:tcW w:w="1097" w:type="dxa"/>
            <w:shd w:val="clear" w:color="auto" w:fill="auto"/>
            <w:vAlign w:val="center"/>
          </w:tcPr>
          <w:p w:rsidR="00080AA1" w:rsidRDefault="00080AA1" w:rsidP="0060584B">
            <w:pPr>
              <w:pStyle w:val="TableParagraph"/>
              <w:spacing w:line="270" w:lineRule="atLeast"/>
              <w:rPr>
                <w:b/>
                <w:sz w:val="24"/>
              </w:rPr>
            </w:pPr>
            <w:r>
              <w:rPr>
                <w:b/>
                <w:spacing w:val="-4"/>
                <w:sz w:val="24"/>
              </w:rPr>
              <w:t>Moy Sc. PRTPC</w:t>
            </w:r>
          </w:p>
        </w:tc>
        <w:tc>
          <w:tcPr>
            <w:tcW w:w="1029" w:type="dxa"/>
            <w:shd w:val="clear" w:color="auto" w:fill="auto"/>
            <w:vAlign w:val="center"/>
          </w:tcPr>
          <w:p w:rsidR="00080AA1" w:rsidRDefault="00080AA1" w:rsidP="0060584B">
            <w:pPr>
              <w:pStyle w:val="TableParagraph"/>
              <w:spacing w:line="240" w:lineRule="auto"/>
              <w:ind w:hanging="87"/>
              <w:rPr>
                <w:b/>
                <w:sz w:val="24"/>
              </w:rPr>
            </w:pPr>
            <w:r>
              <w:rPr>
                <w:b/>
                <w:sz w:val="24"/>
              </w:rPr>
              <w:t xml:space="preserve">MoySc. </w:t>
            </w:r>
            <w:r>
              <w:rPr>
                <w:b/>
                <w:spacing w:val="-4"/>
                <w:sz w:val="24"/>
              </w:rPr>
              <w:t>PSEA</w:t>
            </w:r>
          </w:p>
        </w:tc>
      </w:tr>
      <w:tr w:rsidR="00080AA1" w:rsidTr="0060584B">
        <w:trPr>
          <w:trHeight w:val="293"/>
          <w:jc w:val="center"/>
        </w:trPr>
        <w:tc>
          <w:tcPr>
            <w:tcW w:w="2148" w:type="dxa"/>
            <w:vMerge w:val="restart"/>
            <w:shd w:val="clear" w:color="auto" w:fill="auto"/>
          </w:tcPr>
          <w:p w:rsidR="00080AA1" w:rsidRDefault="00080AA1" w:rsidP="0060584B">
            <w:pPr>
              <w:pStyle w:val="TableParagraph"/>
              <w:spacing w:before="159" w:line="240" w:lineRule="auto"/>
              <w:ind w:left="18" w:right="1"/>
              <w:rPr>
                <w:b/>
                <w:sz w:val="24"/>
              </w:rPr>
            </w:pPr>
            <w:r>
              <w:rPr>
                <w:b/>
                <w:spacing w:val="-4"/>
                <w:sz w:val="24"/>
              </w:rPr>
              <w:t>Sex</w:t>
            </w:r>
          </w:p>
        </w:tc>
        <w:tc>
          <w:tcPr>
            <w:tcW w:w="3111" w:type="dxa"/>
            <w:tcBorders>
              <w:bottom w:val="nil"/>
            </w:tcBorders>
            <w:shd w:val="clear" w:color="auto" w:fill="auto"/>
          </w:tcPr>
          <w:p w:rsidR="00080AA1" w:rsidRDefault="00080AA1" w:rsidP="0060584B">
            <w:pPr>
              <w:pStyle w:val="TableParagraph"/>
              <w:spacing w:before="10" w:line="263" w:lineRule="exact"/>
              <w:ind w:left="71"/>
              <w:jc w:val="left"/>
              <w:rPr>
                <w:sz w:val="24"/>
              </w:rPr>
            </w:pPr>
            <w:r>
              <w:rPr>
                <w:sz w:val="24"/>
              </w:rPr>
              <w:t>Man</w:t>
            </w:r>
          </w:p>
        </w:tc>
        <w:tc>
          <w:tcPr>
            <w:tcW w:w="1134" w:type="dxa"/>
            <w:tcBorders>
              <w:bottom w:val="nil"/>
            </w:tcBorders>
            <w:shd w:val="clear" w:color="auto" w:fill="auto"/>
          </w:tcPr>
          <w:p w:rsidR="00080AA1" w:rsidRDefault="00080AA1" w:rsidP="0060584B">
            <w:pPr>
              <w:pStyle w:val="TableParagraph"/>
              <w:spacing w:before="10" w:line="263" w:lineRule="exact"/>
              <w:ind w:left="26" w:right="5"/>
              <w:rPr>
                <w:sz w:val="24"/>
              </w:rPr>
            </w:pPr>
            <w:r>
              <w:rPr>
                <w:spacing w:val="-4"/>
                <w:sz w:val="24"/>
              </w:rPr>
              <w:t>2,61</w:t>
            </w:r>
          </w:p>
        </w:tc>
        <w:tc>
          <w:tcPr>
            <w:tcW w:w="1134" w:type="dxa"/>
            <w:tcBorders>
              <w:bottom w:val="nil"/>
            </w:tcBorders>
            <w:shd w:val="clear" w:color="auto" w:fill="auto"/>
          </w:tcPr>
          <w:p w:rsidR="00080AA1" w:rsidRDefault="00080AA1" w:rsidP="0060584B">
            <w:pPr>
              <w:pStyle w:val="TableParagraph"/>
              <w:spacing w:before="10" w:line="263" w:lineRule="exact"/>
              <w:ind w:left="93" w:right="75"/>
              <w:rPr>
                <w:sz w:val="24"/>
              </w:rPr>
            </w:pPr>
            <w:r>
              <w:rPr>
                <w:spacing w:val="-4"/>
                <w:sz w:val="24"/>
              </w:rPr>
              <w:t>3,82</w:t>
            </w:r>
          </w:p>
        </w:tc>
        <w:tc>
          <w:tcPr>
            <w:tcW w:w="1097" w:type="dxa"/>
            <w:tcBorders>
              <w:bottom w:val="nil"/>
            </w:tcBorders>
            <w:shd w:val="clear" w:color="auto" w:fill="auto"/>
          </w:tcPr>
          <w:p w:rsidR="00080AA1" w:rsidRDefault="00080AA1" w:rsidP="0060584B">
            <w:pPr>
              <w:pStyle w:val="TableParagraph"/>
              <w:spacing w:before="10" w:line="263" w:lineRule="exact"/>
              <w:ind w:left="90" w:right="75"/>
              <w:rPr>
                <w:sz w:val="24"/>
              </w:rPr>
            </w:pPr>
            <w:r>
              <w:rPr>
                <w:spacing w:val="-4"/>
                <w:sz w:val="24"/>
              </w:rPr>
              <w:t>4,28</w:t>
            </w:r>
          </w:p>
        </w:tc>
        <w:tc>
          <w:tcPr>
            <w:tcW w:w="1029" w:type="dxa"/>
            <w:tcBorders>
              <w:bottom w:val="nil"/>
            </w:tcBorders>
            <w:shd w:val="clear" w:color="auto" w:fill="auto"/>
          </w:tcPr>
          <w:p w:rsidR="00080AA1" w:rsidRDefault="00080AA1" w:rsidP="0060584B">
            <w:pPr>
              <w:pStyle w:val="TableParagraph"/>
              <w:spacing w:before="10" w:line="263" w:lineRule="exact"/>
              <w:ind w:left="21"/>
              <w:rPr>
                <w:sz w:val="24"/>
              </w:rPr>
            </w:pPr>
            <w:r>
              <w:rPr>
                <w:spacing w:val="-4"/>
                <w:sz w:val="24"/>
              </w:rPr>
              <w:t>4,07</w:t>
            </w:r>
          </w:p>
        </w:tc>
      </w:tr>
      <w:tr w:rsidR="00080AA1" w:rsidTr="0060584B">
        <w:trPr>
          <w:trHeight w:val="285"/>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tcBorders>
            <w:shd w:val="clear" w:color="auto" w:fill="auto"/>
          </w:tcPr>
          <w:p w:rsidR="00080AA1" w:rsidRDefault="00080AA1" w:rsidP="0060584B">
            <w:pPr>
              <w:pStyle w:val="TableParagraph"/>
              <w:spacing w:line="265" w:lineRule="exact"/>
              <w:ind w:left="71"/>
              <w:jc w:val="left"/>
              <w:rPr>
                <w:sz w:val="24"/>
              </w:rPr>
            </w:pPr>
            <w:r>
              <w:rPr>
                <w:sz w:val="24"/>
              </w:rPr>
              <w:t>Women</w:t>
            </w:r>
          </w:p>
        </w:tc>
        <w:tc>
          <w:tcPr>
            <w:tcW w:w="1134" w:type="dxa"/>
            <w:tcBorders>
              <w:top w:val="nil"/>
            </w:tcBorders>
            <w:shd w:val="clear" w:color="auto" w:fill="auto"/>
          </w:tcPr>
          <w:p w:rsidR="00080AA1" w:rsidRDefault="00080AA1" w:rsidP="0060584B">
            <w:pPr>
              <w:pStyle w:val="TableParagraph"/>
              <w:spacing w:line="265" w:lineRule="exact"/>
              <w:ind w:left="26" w:right="5"/>
              <w:rPr>
                <w:sz w:val="24"/>
              </w:rPr>
            </w:pPr>
            <w:r>
              <w:rPr>
                <w:spacing w:val="-4"/>
                <w:sz w:val="24"/>
              </w:rPr>
              <w:t>2,45</w:t>
            </w:r>
          </w:p>
        </w:tc>
        <w:tc>
          <w:tcPr>
            <w:tcW w:w="1134" w:type="dxa"/>
            <w:tcBorders>
              <w:top w:val="nil"/>
            </w:tcBorders>
            <w:shd w:val="clear" w:color="auto" w:fill="auto"/>
          </w:tcPr>
          <w:p w:rsidR="00080AA1" w:rsidRDefault="00080AA1" w:rsidP="0060584B">
            <w:pPr>
              <w:pStyle w:val="TableParagraph"/>
              <w:spacing w:line="265" w:lineRule="exact"/>
              <w:ind w:left="93" w:right="75"/>
              <w:rPr>
                <w:sz w:val="24"/>
              </w:rPr>
            </w:pPr>
            <w:r>
              <w:rPr>
                <w:spacing w:val="-4"/>
                <w:sz w:val="24"/>
              </w:rPr>
              <w:t>3,71</w:t>
            </w:r>
          </w:p>
        </w:tc>
        <w:tc>
          <w:tcPr>
            <w:tcW w:w="1097" w:type="dxa"/>
            <w:tcBorders>
              <w:top w:val="nil"/>
            </w:tcBorders>
            <w:shd w:val="clear" w:color="auto" w:fill="auto"/>
          </w:tcPr>
          <w:p w:rsidR="00080AA1" w:rsidRDefault="00080AA1" w:rsidP="0060584B">
            <w:pPr>
              <w:pStyle w:val="TableParagraph"/>
              <w:spacing w:line="265" w:lineRule="exact"/>
              <w:ind w:left="90" w:right="75"/>
              <w:rPr>
                <w:sz w:val="24"/>
              </w:rPr>
            </w:pPr>
            <w:r>
              <w:rPr>
                <w:spacing w:val="-4"/>
                <w:sz w:val="24"/>
              </w:rPr>
              <w:t>4,41</w:t>
            </w:r>
          </w:p>
        </w:tc>
        <w:tc>
          <w:tcPr>
            <w:tcW w:w="1029" w:type="dxa"/>
            <w:tcBorders>
              <w:top w:val="nil"/>
            </w:tcBorders>
            <w:shd w:val="clear" w:color="auto" w:fill="auto"/>
          </w:tcPr>
          <w:p w:rsidR="00080AA1" w:rsidRDefault="00080AA1" w:rsidP="0060584B">
            <w:pPr>
              <w:pStyle w:val="TableParagraph"/>
              <w:spacing w:line="265" w:lineRule="exact"/>
              <w:ind w:left="21"/>
              <w:rPr>
                <w:sz w:val="24"/>
              </w:rPr>
            </w:pPr>
            <w:r>
              <w:rPr>
                <w:spacing w:val="-4"/>
                <w:sz w:val="24"/>
              </w:rPr>
              <w:t>3,88</w:t>
            </w:r>
          </w:p>
        </w:tc>
      </w:tr>
      <w:tr w:rsidR="00080AA1" w:rsidTr="0060584B">
        <w:trPr>
          <w:trHeight w:val="293"/>
          <w:jc w:val="center"/>
        </w:trPr>
        <w:tc>
          <w:tcPr>
            <w:tcW w:w="2148" w:type="dxa"/>
            <w:vMerge w:val="restart"/>
            <w:shd w:val="clear" w:color="auto" w:fill="auto"/>
            <w:vAlign w:val="center"/>
          </w:tcPr>
          <w:p w:rsidR="00080AA1" w:rsidRDefault="00080AA1" w:rsidP="0060584B">
            <w:pPr>
              <w:pStyle w:val="TableParagraph"/>
              <w:spacing w:before="162" w:line="240" w:lineRule="auto"/>
              <w:ind w:left="18"/>
              <w:rPr>
                <w:b/>
                <w:sz w:val="24"/>
              </w:rPr>
            </w:pPr>
            <w:r>
              <w:rPr>
                <w:b/>
                <w:spacing w:val="-5"/>
                <w:sz w:val="24"/>
              </w:rPr>
              <w:t>Age</w:t>
            </w:r>
          </w:p>
        </w:tc>
        <w:tc>
          <w:tcPr>
            <w:tcW w:w="3111" w:type="dxa"/>
            <w:tcBorders>
              <w:bottom w:val="nil"/>
            </w:tcBorders>
            <w:shd w:val="clear" w:color="auto" w:fill="auto"/>
          </w:tcPr>
          <w:p w:rsidR="00080AA1" w:rsidRDefault="00080AA1" w:rsidP="0060584B">
            <w:pPr>
              <w:pStyle w:val="TableParagraph"/>
              <w:spacing w:before="10" w:line="263" w:lineRule="exact"/>
              <w:ind w:left="71"/>
              <w:jc w:val="left"/>
              <w:rPr>
                <w:sz w:val="24"/>
              </w:rPr>
            </w:pPr>
            <w:r>
              <w:rPr>
                <w:spacing w:val="-2"/>
                <w:sz w:val="24"/>
              </w:rPr>
              <w:t>-</w:t>
            </w:r>
            <w:r>
              <w:rPr>
                <w:spacing w:val="-7"/>
                <w:sz w:val="24"/>
              </w:rPr>
              <w:t>30</w:t>
            </w:r>
          </w:p>
        </w:tc>
        <w:tc>
          <w:tcPr>
            <w:tcW w:w="1134" w:type="dxa"/>
            <w:tcBorders>
              <w:bottom w:val="nil"/>
            </w:tcBorders>
            <w:shd w:val="clear" w:color="auto" w:fill="auto"/>
          </w:tcPr>
          <w:p w:rsidR="00080AA1" w:rsidRDefault="00080AA1" w:rsidP="0060584B">
            <w:pPr>
              <w:pStyle w:val="TableParagraph"/>
              <w:spacing w:before="10" w:line="263" w:lineRule="exact"/>
              <w:ind w:left="26" w:right="5"/>
              <w:rPr>
                <w:sz w:val="24"/>
              </w:rPr>
            </w:pPr>
            <w:r>
              <w:rPr>
                <w:spacing w:val="-4"/>
                <w:sz w:val="24"/>
              </w:rPr>
              <w:t>2,58</w:t>
            </w:r>
          </w:p>
        </w:tc>
        <w:tc>
          <w:tcPr>
            <w:tcW w:w="1134" w:type="dxa"/>
            <w:tcBorders>
              <w:bottom w:val="nil"/>
            </w:tcBorders>
            <w:shd w:val="clear" w:color="auto" w:fill="auto"/>
          </w:tcPr>
          <w:p w:rsidR="00080AA1" w:rsidRDefault="00080AA1" w:rsidP="0060584B">
            <w:pPr>
              <w:pStyle w:val="TableParagraph"/>
              <w:spacing w:before="10" w:line="263" w:lineRule="exact"/>
              <w:ind w:left="93" w:right="75"/>
              <w:rPr>
                <w:sz w:val="24"/>
              </w:rPr>
            </w:pPr>
            <w:r>
              <w:rPr>
                <w:spacing w:val="-4"/>
                <w:sz w:val="24"/>
              </w:rPr>
              <w:t>3,64</w:t>
            </w:r>
          </w:p>
        </w:tc>
        <w:tc>
          <w:tcPr>
            <w:tcW w:w="1097" w:type="dxa"/>
            <w:tcBorders>
              <w:bottom w:val="nil"/>
            </w:tcBorders>
            <w:shd w:val="clear" w:color="auto" w:fill="auto"/>
          </w:tcPr>
          <w:p w:rsidR="00080AA1" w:rsidRDefault="00080AA1" w:rsidP="0060584B">
            <w:pPr>
              <w:pStyle w:val="TableParagraph"/>
              <w:spacing w:before="10" w:line="263" w:lineRule="exact"/>
              <w:ind w:left="90" w:right="75"/>
              <w:rPr>
                <w:sz w:val="24"/>
              </w:rPr>
            </w:pPr>
            <w:r>
              <w:rPr>
                <w:spacing w:val="-4"/>
                <w:sz w:val="24"/>
              </w:rPr>
              <w:t>4,26</w:t>
            </w:r>
          </w:p>
        </w:tc>
        <w:tc>
          <w:tcPr>
            <w:tcW w:w="1029" w:type="dxa"/>
            <w:tcBorders>
              <w:bottom w:val="nil"/>
            </w:tcBorders>
            <w:shd w:val="clear" w:color="auto" w:fill="auto"/>
          </w:tcPr>
          <w:p w:rsidR="00080AA1" w:rsidRDefault="00080AA1" w:rsidP="0060584B">
            <w:pPr>
              <w:pStyle w:val="TableParagraph"/>
              <w:spacing w:before="10" w:line="263" w:lineRule="exact"/>
              <w:ind w:left="21"/>
              <w:rPr>
                <w:sz w:val="24"/>
              </w:rPr>
            </w:pPr>
            <w:r>
              <w:rPr>
                <w:spacing w:val="-4"/>
                <w:sz w:val="24"/>
              </w:rPr>
              <w:t>4,01</w:t>
            </w:r>
          </w:p>
        </w:tc>
      </w:tr>
      <w:tr w:rsidR="00080AA1" w:rsidTr="0060584B">
        <w:trPr>
          <w:trHeight w:val="287"/>
          <w:jc w:val="center"/>
        </w:trPr>
        <w:tc>
          <w:tcPr>
            <w:tcW w:w="2148" w:type="dxa"/>
            <w:vMerge/>
            <w:shd w:val="clear" w:color="auto" w:fill="auto"/>
          </w:tcPr>
          <w:p w:rsidR="00080AA1" w:rsidRDefault="00080AA1" w:rsidP="0060584B">
            <w:pPr>
              <w:rPr>
                <w:sz w:val="2"/>
                <w:szCs w:val="2"/>
              </w:rPr>
            </w:pPr>
          </w:p>
        </w:tc>
        <w:tc>
          <w:tcPr>
            <w:tcW w:w="3111" w:type="dxa"/>
            <w:tcBorders>
              <w:top w:val="nil"/>
            </w:tcBorders>
            <w:shd w:val="clear" w:color="auto" w:fill="auto"/>
          </w:tcPr>
          <w:p w:rsidR="00080AA1" w:rsidRDefault="00080AA1" w:rsidP="0060584B">
            <w:pPr>
              <w:pStyle w:val="TableParagraph"/>
              <w:spacing w:line="268" w:lineRule="exact"/>
              <w:ind w:left="71"/>
              <w:jc w:val="left"/>
              <w:rPr>
                <w:sz w:val="24"/>
              </w:rPr>
            </w:pPr>
            <w:r>
              <w:rPr>
                <w:spacing w:val="-2"/>
                <w:sz w:val="24"/>
              </w:rPr>
              <w:t>30-</w:t>
            </w:r>
            <w:r>
              <w:rPr>
                <w:spacing w:val="-7"/>
                <w:sz w:val="24"/>
              </w:rPr>
              <w:t>39</w:t>
            </w:r>
          </w:p>
        </w:tc>
        <w:tc>
          <w:tcPr>
            <w:tcW w:w="1134" w:type="dxa"/>
            <w:tcBorders>
              <w:top w:val="nil"/>
            </w:tcBorders>
            <w:shd w:val="clear" w:color="auto" w:fill="auto"/>
          </w:tcPr>
          <w:p w:rsidR="00080AA1" w:rsidRDefault="00080AA1" w:rsidP="0060584B">
            <w:pPr>
              <w:pStyle w:val="TableParagraph"/>
              <w:spacing w:line="268" w:lineRule="exact"/>
              <w:ind w:left="26" w:right="5"/>
              <w:rPr>
                <w:sz w:val="24"/>
              </w:rPr>
            </w:pPr>
            <w:r>
              <w:rPr>
                <w:spacing w:val="-4"/>
                <w:sz w:val="24"/>
              </w:rPr>
              <w:t>2,64</w:t>
            </w:r>
          </w:p>
        </w:tc>
        <w:tc>
          <w:tcPr>
            <w:tcW w:w="1134" w:type="dxa"/>
            <w:tcBorders>
              <w:top w:val="nil"/>
            </w:tcBorders>
            <w:shd w:val="clear" w:color="auto" w:fill="auto"/>
          </w:tcPr>
          <w:p w:rsidR="00080AA1" w:rsidRDefault="00080AA1" w:rsidP="0060584B">
            <w:pPr>
              <w:pStyle w:val="TableParagraph"/>
              <w:spacing w:line="268" w:lineRule="exact"/>
              <w:ind w:left="93" w:right="75"/>
              <w:rPr>
                <w:sz w:val="24"/>
              </w:rPr>
            </w:pPr>
            <w:r>
              <w:rPr>
                <w:spacing w:val="-4"/>
                <w:sz w:val="24"/>
              </w:rPr>
              <w:t>3,76</w:t>
            </w:r>
          </w:p>
        </w:tc>
        <w:tc>
          <w:tcPr>
            <w:tcW w:w="1097" w:type="dxa"/>
            <w:tcBorders>
              <w:top w:val="nil"/>
            </w:tcBorders>
            <w:shd w:val="clear" w:color="auto" w:fill="auto"/>
          </w:tcPr>
          <w:p w:rsidR="00080AA1" w:rsidRDefault="00080AA1" w:rsidP="0060584B">
            <w:pPr>
              <w:pStyle w:val="TableParagraph"/>
              <w:spacing w:line="268" w:lineRule="exact"/>
              <w:ind w:left="90" w:right="75"/>
              <w:rPr>
                <w:sz w:val="24"/>
              </w:rPr>
            </w:pPr>
            <w:r>
              <w:rPr>
                <w:spacing w:val="-4"/>
                <w:sz w:val="24"/>
              </w:rPr>
              <w:t>4,31</w:t>
            </w:r>
          </w:p>
        </w:tc>
        <w:tc>
          <w:tcPr>
            <w:tcW w:w="1029" w:type="dxa"/>
            <w:tcBorders>
              <w:top w:val="nil"/>
            </w:tcBorders>
            <w:shd w:val="clear" w:color="auto" w:fill="auto"/>
          </w:tcPr>
          <w:p w:rsidR="00080AA1" w:rsidRDefault="00080AA1" w:rsidP="0060584B">
            <w:pPr>
              <w:pStyle w:val="TableParagraph"/>
              <w:spacing w:line="268" w:lineRule="exact"/>
              <w:ind w:left="21"/>
              <w:rPr>
                <w:sz w:val="24"/>
              </w:rPr>
            </w:pPr>
            <w:r>
              <w:rPr>
                <w:spacing w:val="-4"/>
                <w:sz w:val="24"/>
              </w:rPr>
              <w:t>4,01</w:t>
            </w:r>
          </w:p>
        </w:tc>
      </w:tr>
      <w:tr w:rsidR="00080AA1" w:rsidTr="0060584B">
        <w:trPr>
          <w:trHeight w:val="293"/>
          <w:jc w:val="center"/>
        </w:trPr>
        <w:tc>
          <w:tcPr>
            <w:tcW w:w="2148" w:type="dxa"/>
            <w:vMerge/>
            <w:shd w:val="clear" w:color="auto" w:fill="auto"/>
          </w:tcPr>
          <w:p w:rsidR="00080AA1" w:rsidRDefault="00080AA1" w:rsidP="0060584B">
            <w:pPr>
              <w:pStyle w:val="TableParagraph"/>
              <w:spacing w:line="240" w:lineRule="auto"/>
              <w:jc w:val="left"/>
            </w:pPr>
          </w:p>
        </w:tc>
        <w:tc>
          <w:tcPr>
            <w:tcW w:w="3111" w:type="dxa"/>
            <w:tcBorders>
              <w:bottom w:val="nil"/>
            </w:tcBorders>
            <w:shd w:val="clear" w:color="auto" w:fill="auto"/>
          </w:tcPr>
          <w:p w:rsidR="00080AA1" w:rsidRDefault="00080AA1" w:rsidP="0060584B">
            <w:pPr>
              <w:pStyle w:val="TableParagraph"/>
              <w:spacing w:before="10" w:line="263" w:lineRule="exact"/>
              <w:ind w:left="71"/>
              <w:jc w:val="left"/>
              <w:rPr>
                <w:sz w:val="24"/>
              </w:rPr>
            </w:pPr>
            <w:r>
              <w:rPr>
                <w:spacing w:val="-2"/>
                <w:sz w:val="24"/>
              </w:rPr>
              <w:t>40-</w:t>
            </w:r>
            <w:r>
              <w:rPr>
                <w:spacing w:val="-7"/>
                <w:sz w:val="24"/>
              </w:rPr>
              <w:t>49</w:t>
            </w:r>
          </w:p>
        </w:tc>
        <w:tc>
          <w:tcPr>
            <w:tcW w:w="1134" w:type="dxa"/>
            <w:tcBorders>
              <w:bottom w:val="nil"/>
            </w:tcBorders>
            <w:shd w:val="clear" w:color="auto" w:fill="auto"/>
          </w:tcPr>
          <w:p w:rsidR="00080AA1" w:rsidRDefault="00080AA1" w:rsidP="0060584B">
            <w:pPr>
              <w:pStyle w:val="TableParagraph"/>
              <w:spacing w:before="10" w:line="263" w:lineRule="exact"/>
              <w:ind w:left="26" w:right="5"/>
              <w:rPr>
                <w:sz w:val="24"/>
              </w:rPr>
            </w:pPr>
            <w:r>
              <w:rPr>
                <w:spacing w:val="-4"/>
                <w:sz w:val="24"/>
              </w:rPr>
              <w:t>2,46</w:t>
            </w:r>
          </w:p>
        </w:tc>
        <w:tc>
          <w:tcPr>
            <w:tcW w:w="1134" w:type="dxa"/>
            <w:tcBorders>
              <w:bottom w:val="nil"/>
            </w:tcBorders>
            <w:shd w:val="clear" w:color="auto" w:fill="auto"/>
          </w:tcPr>
          <w:p w:rsidR="00080AA1" w:rsidRDefault="00080AA1" w:rsidP="0060584B">
            <w:pPr>
              <w:pStyle w:val="TableParagraph"/>
              <w:spacing w:before="10" w:line="263" w:lineRule="exact"/>
              <w:ind w:left="93" w:right="75"/>
              <w:rPr>
                <w:sz w:val="24"/>
              </w:rPr>
            </w:pPr>
            <w:r>
              <w:rPr>
                <w:spacing w:val="-4"/>
                <w:sz w:val="24"/>
              </w:rPr>
              <w:t>3,83</w:t>
            </w:r>
          </w:p>
        </w:tc>
        <w:tc>
          <w:tcPr>
            <w:tcW w:w="1097" w:type="dxa"/>
            <w:tcBorders>
              <w:bottom w:val="nil"/>
            </w:tcBorders>
            <w:shd w:val="clear" w:color="auto" w:fill="auto"/>
          </w:tcPr>
          <w:p w:rsidR="00080AA1" w:rsidRDefault="00080AA1" w:rsidP="0060584B">
            <w:pPr>
              <w:pStyle w:val="TableParagraph"/>
              <w:spacing w:before="10" w:line="263" w:lineRule="exact"/>
              <w:ind w:left="90" w:right="75"/>
              <w:rPr>
                <w:sz w:val="24"/>
              </w:rPr>
            </w:pPr>
            <w:r>
              <w:rPr>
                <w:spacing w:val="-4"/>
                <w:sz w:val="24"/>
              </w:rPr>
              <w:t>4,32</w:t>
            </w:r>
          </w:p>
        </w:tc>
        <w:tc>
          <w:tcPr>
            <w:tcW w:w="1029" w:type="dxa"/>
            <w:tcBorders>
              <w:bottom w:val="nil"/>
            </w:tcBorders>
            <w:shd w:val="clear" w:color="auto" w:fill="auto"/>
          </w:tcPr>
          <w:p w:rsidR="00080AA1" w:rsidRDefault="00080AA1" w:rsidP="0060584B">
            <w:pPr>
              <w:pStyle w:val="TableParagraph"/>
              <w:spacing w:before="10" w:line="263" w:lineRule="exact"/>
              <w:ind w:left="21"/>
              <w:rPr>
                <w:sz w:val="24"/>
              </w:rPr>
            </w:pPr>
            <w:r>
              <w:rPr>
                <w:spacing w:val="-4"/>
                <w:sz w:val="24"/>
              </w:rPr>
              <w:t>4,06</w:t>
            </w:r>
          </w:p>
        </w:tc>
      </w:tr>
      <w:tr w:rsidR="00080AA1" w:rsidTr="0060584B">
        <w:trPr>
          <w:trHeight w:val="280"/>
          <w:jc w:val="center"/>
        </w:trPr>
        <w:tc>
          <w:tcPr>
            <w:tcW w:w="2148" w:type="dxa"/>
            <w:vMerge/>
            <w:shd w:val="clear" w:color="auto" w:fill="auto"/>
          </w:tcPr>
          <w:p w:rsidR="00080AA1" w:rsidRDefault="00080AA1" w:rsidP="0060584B">
            <w:pPr>
              <w:rPr>
                <w:sz w:val="2"/>
                <w:szCs w:val="2"/>
              </w:rPr>
            </w:pPr>
          </w:p>
        </w:tc>
        <w:tc>
          <w:tcPr>
            <w:tcW w:w="3111" w:type="dxa"/>
            <w:tcBorders>
              <w:top w:val="nil"/>
              <w:bottom w:val="single" w:sz="4" w:space="0" w:color="000000"/>
            </w:tcBorders>
            <w:shd w:val="clear" w:color="auto" w:fill="auto"/>
          </w:tcPr>
          <w:p w:rsidR="00080AA1" w:rsidRDefault="00080AA1" w:rsidP="0060584B">
            <w:pPr>
              <w:pStyle w:val="TableParagraph"/>
              <w:spacing w:line="261" w:lineRule="exact"/>
              <w:ind w:left="71"/>
              <w:jc w:val="left"/>
              <w:rPr>
                <w:sz w:val="24"/>
              </w:rPr>
            </w:pPr>
            <w:r>
              <w:rPr>
                <w:sz w:val="24"/>
              </w:rPr>
              <w:t>+</w:t>
            </w:r>
            <w:r>
              <w:rPr>
                <w:spacing w:val="-7"/>
                <w:sz w:val="24"/>
              </w:rPr>
              <w:t>49</w:t>
            </w:r>
          </w:p>
        </w:tc>
        <w:tc>
          <w:tcPr>
            <w:tcW w:w="1134" w:type="dxa"/>
            <w:tcBorders>
              <w:top w:val="nil"/>
              <w:bottom w:val="single" w:sz="4" w:space="0" w:color="000000"/>
            </w:tcBorders>
            <w:shd w:val="clear" w:color="auto" w:fill="auto"/>
          </w:tcPr>
          <w:p w:rsidR="00080AA1" w:rsidRDefault="00080AA1" w:rsidP="0060584B">
            <w:pPr>
              <w:pStyle w:val="TableParagraph"/>
              <w:spacing w:line="261" w:lineRule="exact"/>
              <w:ind w:left="26" w:right="5"/>
              <w:rPr>
                <w:sz w:val="24"/>
              </w:rPr>
            </w:pPr>
            <w:r>
              <w:rPr>
                <w:spacing w:val="-4"/>
                <w:sz w:val="24"/>
              </w:rPr>
              <w:t>2,83</w:t>
            </w:r>
          </w:p>
        </w:tc>
        <w:tc>
          <w:tcPr>
            <w:tcW w:w="1134" w:type="dxa"/>
            <w:tcBorders>
              <w:top w:val="nil"/>
              <w:bottom w:val="single" w:sz="4" w:space="0" w:color="000000"/>
            </w:tcBorders>
            <w:shd w:val="clear" w:color="auto" w:fill="auto"/>
          </w:tcPr>
          <w:p w:rsidR="00080AA1" w:rsidRDefault="00080AA1" w:rsidP="0060584B">
            <w:pPr>
              <w:pStyle w:val="TableParagraph"/>
              <w:spacing w:line="261" w:lineRule="exact"/>
              <w:ind w:left="93" w:right="75"/>
              <w:rPr>
                <w:sz w:val="24"/>
              </w:rPr>
            </w:pPr>
            <w:r>
              <w:rPr>
                <w:spacing w:val="-4"/>
                <w:sz w:val="24"/>
              </w:rPr>
              <w:t>4,16</w:t>
            </w:r>
          </w:p>
        </w:tc>
        <w:tc>
          <w:tcPr>
            <w:tcW w:w="1097" w:type="dxa"/>
            <w:tcBorders>
              <w:top w:val="nil"/>
              <w:bottom w:val="single" w:sz="4" w:space="0" w:color="000000"/>
            </w:tcBorders>
            <w:shd w:val="clear" w:color="auto" w:fill="auto"/>
          </w:tcPr>
          <w:p w:rsidR="00080AA1" w:rsidRDefault="00080AA1" w:rsidP="0060584B">
            <w:pPr>
              <w:pStyle w:val="TableParagraph"/>
              <w:spacing w:line="261" w:lineRule="exact"/>
              <w:ind w:left="90" w:right="75"/>
              <w:rPr>
                <w:sz w:val="24"/>
              </w:rPr>
            </w:pPr>
            <w:r>
              <w:rPr>
                <w:spacing w:val="-4"/>
                <w:sz w:val="24"/>
              </w:rPr>
              <w:t>4,45</w:t>
            </w:r>
          </w:p>
        </w:tc>
        <w:tc>
          <w:tcPr>
            <w:tcW w:w="1029" w:type="dxa"/>
            <w:tcBorders>
              <w:top w:val="nil"/>
              <w:bottom w:val="single" w:sz="4" w:space="0" w:color="000000"/>
            </w:tcBorders>
            <w:shd w:val="clear" w:color="auto" w:fill="auto"/>
          </w:tcPr>
          <w:p w:rsidR="00080AA1" w:rsidRDefault="00080AA1" w:rsidP="0060584B">
            <w:pPr>
              <w:pStyle w:val="TableParagraph"/>
              <w:spacing w:line="261" w:lineRule="exact"/>
              <w:ind w:left="21"/>
              <w:rPr>
                <w:sz w:val="24"/>
              </w:rPr>
            </w:pPr>
            <w:r>
              <w:rPr>
                <w:spacing w:val="-4"/>
                <w:sz w:val="24"/>
              </w:rPr>
              <w:t>4,21</w:t>
            </w:r>
          </w:p>
        </w:tc>
      </w:tr>
      <w:tr w:rsidR="00080AA1" w:rsidTr="0060584B">
        <w:trPr>
          <w:trHeight w:val="298"/>
          <w:jc w:val="center"/>
        </w:trPr>
        <w:tc>
          <w:tcPr>
            <w:tcW w:w="2148" w:type="dxa"/>
            <w:vMerge w:val="restart"/>
            <w:shd w:val="clear" w:color="auto" w:fill="auto"/>
          </w:tcPr>
          <w:p w:rsidR="00080AA1" w:rsidRDefault="00080AA1" w:rsidP="0060584B">
            <w:pPr>
              <w:pStyle w:val="TableParagraph"/>
              <w:spacing w:before="190" w:line="240" w:lineRule="auto"/>
              <w:jc w:val="left"/>
              <w:rPr>
                <w:b/>
                <w:sz w:val="24"/>
              </w:rPr>
            </w:pPr>
          </w:p>
          <w:p w:rsidR="00080AA1" w:rsidRDefault="00080AA1" w:rsidP="0060584B">
            <w:pPr>
              <w:pStyle w:val="TableParagraph"/>
              <w:spacing w:line="240" w:lineRule="auto"/>
              <w:ind w:left="498"/>
              <w:jc w:val="left"/>
              <w:rPr>
                <w:b/>
                <w:sz w:val="24"/>
              </w:rPr>
            </w:pPr>
            <w:r w:rsidRPr="008026E7">
              <w:rPr>
                <w:b/>
                <w:spacing w:val="-2"/>
                <w:sz w:val="24"/>
              </w:rPr>
              <w:t>Seniority</w:t>
            </w:r>
          </w:p>
        </w:tc>
        <w:tc>
          <w:tcPr>
            <w:tcW w:w="3111" w:type="dxa"/>
            <w:tcBorders>
              <w:top w:val="single" w:sz="4" w:space="0" w:color="000000"/>
              <w:bottom w:val="nil"/>
            </w:tcBorders>
            <w:shd w:val="clear" w:color="auto" w:fill="auto"/>
          </w:tcPr>
          <w:p w:rsidR="00080AA1" w:rsidRDefault="00080AA1" w:rsidP="0060584B">
            <w:pPr>
              <w:pStyle w:val="TableParagraph"/>
              <w:spacing w:before="15" w:line="263" w:lineRule="exact"/>
              <w:ind w:left="71"/>
              <w:jc w:val="left"/>
              <w:rPr>
                <w:sz w:val="24"/>
              </w:rPr>
            </w:pPr>
            <w:r>
              <w:rPr>
                <w:spacing w:val="-2"/>
                <w:sz w:val="24"/>
              </w:rPr>
              <w:t>-</w:t>
            </w:r>
            <w:r>
              <w:rPr>
                <w:spacing w:val="-12"/>
                <w:sz w:val="24"/>
              </w:rPr>
              <w:t>1</w:t>
            </w:r>
          </w:p>
        </w:tc>
        <w:tc>
          <w:tcPr>
            <w:tcW w:w="1134" w:type="dxa"/>
            <w:tcBorders>
              <w:top w:val="single" w:sz="4" w:space="0" w:color="000000"/>
              <w:bottom w:val="nil"/>
            </w:tcBorders>
            <w:shd w:val="clear" w:color="auto" w:fill="auto"/>
          </w:tcPr>
          <w:p w:rsidR="00080AA1" w:rsidRDefault="00080AA1" w:rsidP="0060584B">
            <w:pPr>
              <w:pStyle w:val="TableParagraph"/>
              <w:spacing w:before="15" w:line="263" w:lineRule="exact"/>
              <w:ind w:left="26" w:right="5"/>
              <w:rPr>
                <w:sz w:val="24"/>
              </w:rPr>
            </w:pPr>
            <w:r>
              <w:rPr>
                <w:spacing w:val="-4"/>
                <w:sz w:val="24"/>
              </w:rPr>
              <w:t>2,74</w:t>
            </w:r>
          </w:p>
        </w:tc>
        <w:tc>
          <w:tcPr>
            <w:tcW w:w="1134" w:type="dxa"/>
            <w:tcBorders>
              <w:top w:val="single" w:sz="4" w:space="0" w:color="000000"/>
              <w:bottom w:val="nil"/>
            </w:tcBorders>
            <w:shd w:val="clear" w:color="auto" w:fill="auto"/>
          </w:tcPr>
          <w:p w:rsidR="00080AA1" w:rsidRDefault="00080AA1" w:rsidP="0060584B">
            <w:pPr>
              <w:pStyle w:val="TableParagraph"/>
              <w:spacing w:before="15" w:line="263" w:lineRule="exact"/>
              <w:ind w:left="93" w:right="75"/>
              <w:rPr>
                <w:sz w:val="24"/>
              </w:rPr>
            </w:pPr>
            <w:r>
              <w:rPr>
                <w:spacing w:val="-4"/>
                <w:sz w:val="24"/>
              </w:rPr>
              <w:t>3,72</w:t>
            </w:r>
          </w:p>
        </w:tc>
        <w:tc>
          <w:tcPr>
            <w:tcW w:w="1097" w:type="dxa"/>
            <w:tcBorders>
              <w:top w:val="single" w:sz="4" w:space="0" w:color="000000"/>
              <w:bottom w:val="nil"/>
            </w:tcBorders>
            <w:shd w:val="clear" w:color="auto" w:fill="auto"/>
          </w:tcPr>
          <w:p w:rsidR="00080AA1" w:rsidRDefault="00080AA1" w:rsidP="0060584B">
            <w:pPr>
              <w:pStyle w:val="TableParagraph"/>
              <w:spacing w:before="15" w:line="263" w:lineRule="exact"/>
              <w:ind w:left="90" w:right="75"/>
              <w:rPr>
                <w:sz w:val="24"/>
              </w:rPr>
            </w:pPr>
            <w:r>
              <w:rPr>
                <w:spacing w:val="-4"/>
                <w:sz w:val="24"/>
              </w:rPr>
              <w:t>4,48</w:t>
            </w:r>
          </w:p>
        </w:tc>
        <w:tc>
          <w:tcPr>
            <w:tcW w:w="1029" w:type="dxa"/>
            <w:tcBorders>
              <w:top w:val="single" w:sz="4" w:space="0" w:color="000000"/>
              <w:bottom w:val="nil"/>
            </w:tcBorders>
            <w:shd w:val="clear" w:color="auto" w:fill="auto"/>
          </w:tcPr>
          <w:p w:rsidR="00080AA1" w:rsidRDefault="00080AA1" w:rsidP="0060584B">
            <w:pPr>
              <w:pStyle w:val="TableParagraph"/>
              <w:spacing w:before="15" w:line="263" w:lineRule="exact"/>
              <w:ind w:left="21"/>
              <w:rPr>
                <w:sz w:val="24"/>
              </w:rPr>
            </w:pPr>
            <w:r>
              <w:rPr>
                <w:spacing w:val="-4"/>
                <w:sz w:val="24"/>
              </w:rPr>
              <w:t>4,12</w:t>
            </w:r>
          </w:p>
        </w:tc>
      </w:tr>
      <w:tr w:rsidR="00080AA1" w:rsidTr="0060584B">
        <w:trPr>
          <w:trHeight w:val="280"/>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bottom w:val="nil"/>
            </w:tcBorders>
            <w:shd w:val="clear" w:color="auto" w:fill="auto"/>
          </w:tcPr>
          <w:p w:rsidR="00080AA1" w:rsidRDefault="00080AA1" w:rsidP="0060584B">
            <w:pPr>
              <w:pStyle w:val="TableParagraph"/>
              <w:spacing w:line="260" w:lineRule="exact"/>
              <w:ind w:left="71"/>
              <w:jc w:val="left"/>
              <w:rPr>
                <w:sz w:val="24"/>
              </w:rPr>
            </w:pPr>
            <w:r>
              <w:rPr>
                <w:spacing w:val="-2"/>
                <w:sz w:val="24"/>
              </w:rPr>
              <w:t>1-</w:t>
            </w:r>
            <w:r>
              <w:rPr>
                <w:spacing w:val="-10"/>
                <w:sz w:val="24"/>
              </w:rPr>
              <w:t>5</w:t>
            </w:r>
          </w:p>
        </w:tc>
        <w:tc>
          <w:tcPr>
            <w:tcW w:w="1134" w:type="dxa"/>
            <w:tcBorders>
              <w:top w:val="nil"/>
              <w:bottom w:val="nil"/>
            </w:tcBorders>
            <w:shd w:val="clear" w:color="auto" w:fill="auto"/>
          </w:tcPr>
          <w:p w:rsidR="00080AA1" w:rsidRDefault="00080AA1" w:rsidP="0060584B">
            <w:pPr>
              <w:pStyle w:val="TableParagraph"/>
              <w:spacing w:line="260" w:lineRule="exact"/>
              <w:ind w:left="26" w:right="5"/>
              <w:rPr>
                <w:sz w:val="24"/>
              </w:rPr>
            </w:pPr>
            <w:r>
              <w:rPr>
                <w:spacing w:val="-4"/>
                <w:sz w:val="24"/>
              </w:rPr>
              <w:t>2,57</w:t>
            </w:r>
          </w:p>
        </w:tc>
        <w:tc>
          <w:tcPr>
            <w:tcW w:w="1134" w:type="dxa"/>
            <w:tcBorders>
              <w:top w:val="nil"/>
              <w:bottom w:val="nil"/>
            </w:tcBorders>
            <w:shd w:val="clear" w:color="auto" w:fill="auto"/>
          </w:tcPr>
          <w:p w:rsidR="00080AA1" w:rsidRDefault="00080AA1" w:rsidP="0060584B">
            <w:pPr>
              <w:pStyle w:val="TableParagraph"/>
              <w:spacing w:line="260" w:lineRule="exact"/>
              <w:ind w:left="93" w:right="75"/>
              <w:rPr>
                <w:sz w:val="24"/>
              </w:rPr>
            </w:pPr>
            <w:r>
              <w:rPr>
                <w:spacing w:val="-4"/>
                <w:sz w:val="24"/>
              </w:rPr>
              <w:t>3,82</w:t>
            </w:r>
          </w:p>
        </w:tc>
        <w:tc>
          <w:tcPr>
            <w:tcW w:w="1097" w:type="dxa"/>
            <w:tcBorders>
              <w:top w:val="nil"/>
              <w:bottom w:val="nil"/>
            </w:tcBorders>
            <w:shd w:val="clear" w:color="auto" w:fill="auto"/>
          </w:tcPr>
          <w:p w:rsidR="00080AA1" w:rsidRDefault="00080AA1" w:rsidP="0060584B">
            <w:pPr>
              <w:pStyle w:val="TableParagraph"/>
              <w:spacing w:line="260" w:lineRule="exact"/>
              <w:ind w:left="90" w:right="75"/>
              <w:rPr>
                <w:sz w:val="24"/>
              </w:rPr>
            </w:pPr>
            <w:r>
              <w:rPr>
                <w:spacing w:val="-4"/>
                <w:sz w:val="24"/>
              </w:rPr>
              <w:t>4,39</w:t>
            </w:r>
          </w:p>
        </w:tc>
        <w:tc>
          <w:tcPr>
            <w:tcW w:w="1029" w:type="dxa"/>
            <w:tcBorders>
              <w:top w:val="nil"/>
              <w:bottom w:val="nil"/>
            </w:tcBorders>
            <w:shd w:val="clear" w:color="auto" w:fill="auto"/>
          </w:tcPr>
          <w:p w:rsidR="00080AA1" w:rsidRDefault="00080AA1" w:rsidP="0060584B">
            <w:pPr>
              <w:pStyle w:val="TableParagraph"/>
              <w:spacing w:line="260" w:lineRule="exact"/>
              <w:ind w:left="21"/>
              <w:rPr>
                <w:sz w:val="24"/>
              </w:rPr>
            </w:pPr>
            <w:r>
              <w:rPr>
                <w:spacing w:val="-4"/>
                <w:sz w:val="24"/>
              </w:rPr>
              <w:t>4,11</w:t>
            </w:r>
          </w:p>
        </w:tc>
      </w:tr>
      <w:tr w:rsidR="00080AA1" w:rsidTr="0060584B">
        <w:trPr>
          <w:trHeight w:val="280"/>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bottom w:val="nil"/>
            </w:tcBorders>
            <w:shd w:val="clear" w:color="auto" w:fill="auto"/>
          </w:tcPr>
          <w:p w:rsidR="00080AA1" w:rsidRDefault="00080AA1" w:rsidP="0060584B">
            <w:pPr>
              <w:pStyle w:val="TableParagraph"/>
              <w:spacing w:line="260" w:lineRule="exact"/>
              <w:ind w:left="71"/>
              <w:jc w:val="left"/>
              <w:rPr>
                <w:sz w:val="24"/>
              </w:rPr>
            </w:pPr>
            <w:r>
              <w:rPr>
                <w:spacing w:val="-2"/>
                <w:sz w:val="24"/>
              </w:rPr>
              <w:t>5-</w:t>
            </w:r>
            <w:r>
              <w:rPr>
                <w:spacing w:val="-10"/>
                <w:sz w:val="24"/>
              </w:rPr>
              <w:t>10</w:t>
            </w:r>
          </w:p>
        </w:tc>
        <w:tc>
          <w:tcPr>
            <w:tcW w:w="1134" w:type="dxa"/>
            <w:tcBorders>
              <w:top w:val="nil"/>
              <w:bottom w:val="nil"/>
            </w:tcBorders>
            <w:shd w:val="clear" w:color="auto" w:fill="auto"/>
          </w:tcPr>
          <w:p w:rsidR="00080AA1" w:rsidRDefault="00080AA1" w:rsidP="0060584B">
            <w:pPr>
              <w:pStyle w:val="TableParagraph"/>
              <w:spacing w:line="260" w:lineRule="exact"/>
              <w:ind w:left="26" w:right="5"/>
              <w:rPr>
                <w:sz w:val="24"/>
              </w:rPr>
            </w:pPr>
            <w:r>
              <w:rPr>
                <w:spacing w:val="-4"/>
                <w:sz w:val="24"/>
              </w:rPr>
              <w:t>2,51</w:t>
            </w:r>
          </w:p>
        </w:tc>
        <w:tc>
          <w:tcPr>
            <w:tcW w:w="1134" w:type="dxa"/>
            <w:tcBorders>
              <w:top w:val="nil"/>
              <w:bottom w:val="nil"/>
            </w:tcBorders>
            <w:shd w:val="clear" w:color="auto" w:fill="auto"/>
          </w:tcPr>
          <w:p w:rsidR="00080AA1" w:rsidRDefault="00080AA1" w:rsidP="0060584B">
            <w:pPr>
              <w:pStyle w:val="TableParagraph"/>
              <w:spacing w:line="260" w:lineRule="exact"/>
              <w:ind w:left="93" w:right="75"/>
              <w:rPr>
                <w:sz w:val="24"/>
              </w:rPr>
            </w:pPr>
            <w:r>
              <w:rPr>
                <w:spacing w:val="-4"/>
                <w:sz w:val="24"/>
              </w:rPr>
              <w:t>3,69</w:t>
            </w:r>
          </w:p>
        </w:tc>
        <w:tc>
          <w:tcPr>
            <w:tcW w:w="1097" w:type="dxa"/>
            <w:tcBorders>
              <w:top w:val="nil"/>
              <w:bottom w:val="nil"/>
            </w:tcBorders>
            <w:shd w:val="clear" w:color="auto" w:fill="auto"/>
          </w:tcPr>
          <w:p w:rsidR="00080AA1" w:rsidRDefault="00080AA1" w:rsidP="0060584B">
            <w:pPr>
              <w:pStyle w:val="TableParagraph"/>
              <w:spacing w:line="260" w:lineRule="exact"/>
              <w:ind w:left="90" w:right="75"/>
              <w:rPr>
                <w:sz w:val="24"/>
              </w:rPr>
            </w:pPr>
            <w:r>
              <w:rPr>
                <w:spacing w:val="-4"/>
                <w:sz w:val="24"/>
              </w:rPr>
              <w:t>4,32</w:t>
            </w:r>
          </w:p>
        </w:tc>
        <w:tc>
          <w:tcPr>
            <w:tcW w:w="1029" w:type="dxa"/>
            <w:tcBorders>
              <w:top w:val="nil"/>
              <w:bottom w:val="nil"/>
            </w:tcBorders>
            <w:shd w:val="clear" w:color="auto" w:fill="auto"/>
          </w:tcPr>
          <w:p w:rsidR="00080AA1" w:rsidRDefault="00080AA1" w:rsidP="0060584B">
            <w:pPr>
              <w:pStyle w:val="TableParagraph"/>
              <w:spacing w:line="260" w:lineRule="exact"/>
              <w:ind w:left="21"/>
              <w:rPr>
                <w:sz w:val="24"/>
              </w:rPr>
            </w:pPr>
            <w:r>
              <w:rPr>
                <w:spacing w:val="-4"/>
                <w:sz w:val="24"/>
              </w:rPr>
              <w:t>4,01</w:t>
            </w:r>
          </w:p>
        </w:tc>
      </w:tr>
      <w:tr w:rsidR="00080AA1" w:rsidTr="0060584B">
        <w:trPr>
          <w:trHeight w:val="285"/>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tcBorders>
            <w:shd w:val="clear" w:color="auto" w:fill="auto"/>
          </w:tcPr>
          <w:p w:rsidR="00080AA1" w:rsidRDefault="00080AA1" w:rsidP="0060584B">
            <w:pPr>
              <w:pStyle w:val="TableParagraph"/>
              <w:spacing w:line="265" w:lineRule="exact"/>
              <w:ind w:left="71"/>
              <w:jc w:val="left"/>
              <w:rPr>
                <w:sz w:val="24"/>
              </w:rPr>
            </w:pPr>
            <w:r>
              <w:rPr>
                <w:spacing w:val="-5"/>
                <w:sz w:val="24"/>
              </w:rPr>
              <w:t>+11</w:t>
            </w:r>
          </w:p>
        </w:tc>
        <w:tc>
          <w:tcPr>
            <w:tcW w:w="1134" w:type="dxa"/>
            <w:tcBorders>
              <w:top w:val="nil"/>
            </w:tcBorders>
            <w:shd w:val="clear" w:color="auto" w:fill="auto"/>
          </w:tcPr>
          <w:p w:rsidR="00080AA1" w:rsidRDefault="00080AA1" w:rsidP="0060584B">
            <w:pPr>
              <w:pStyle w:val="TableParagraph"/>
              <w:spacing w:line="265" w:lineRule="exact"/>
              <w:ind w:left="26" w:right="5"/>
              <w:rPr>
                <w:sz w:val="24"/>
              </w:rPr>
            </w:pPr>
            <w:r>
              <w:rPr>
                <w:spacing w:val="-4"/>
                <w:sz w:val="24"/>
              </w:rPr>
              <w:t>2,65</w:t>
            </w:r>
          </w:p>
        </w:tc>
        <w:tc>
          <w:tcPr>
            <w:tcW w:w="1134" w:type="dxa"/>
            <w:tcBorders>
              <w:top w:val="nil"/>
            </w:tcBorders>
            <w:shd w:val="clear" w:color="auto" w:fill="auto"/>
          </w:tcPr>
          <w:p w:rsidR="00080AA1" w:rsidRDefault="00080AA1" w:rsidP="0060584B">
            <w:pPr>
              <w:pStyle w:val="TableParagraph"/>
              <w:spacing w:line="265" w:lineRule="exact"/>
              <w:ind w:left="93" w:right="75"/>
              <w:rPr>
                <w:sz w:val="24"/>
              </w:rPr>
            </w:pPr>
            <w:r>
              <w:rPr>
                <w:spacing w:val="-4"/>
                <w:sz w:val="24"/>
              </w:rPr>
              <w:t>3,99</w:t>
            </w:r>
          </w:p>
        </w:tc>
        <w:tc>
          <w:tcPr>
            <w:tcW w:w="1097" w:type="dxa"/>
            <w:tcBorders>
              <w:top w:val="nil"/>
            </w:tcBorders>
            <w:shd w:val="clear" w:color="auto" w:fill="auto"/>
          </w:tcPr>
          <w:p w:rsidR="00080AA1" w:rsidRDefault="00080AA1" w:rsidP="0060584B">
            <w:pPr>
              <w:pStyle w:val="TableParagraph"/>
              <w:spacing w:line="265" w:lineRule="exact"/>
              <w:ind w:left="90" w:right="75"/>
              <w:rPr>
                <w:sz w:val="24"/>
              </w:rPr>
            </w:pPr>
            <w:r>
              <w:rPr>
                <w:spacing w:val="-4"/>
                <w:sz w:val="24"/>
              </w:rPr>
              <w:t>4,29</w:t>
            </w:r>
          </w:p>
        </w:tc>
        <w:tc>
          <w:tcPr>
            <w:tcW w:w="1029" w:type="dxa"/>
            <w:tcBorders>
              <w:top w:val="nil"/>
            </w:tcBorders>
            <w:shd w:val="clear" w:color="auto" w:fill="auto"/>
          </w:tcPr>
          <w:p w:rsidR="00080AA1" w:rsidRDefault="00080AA1" w:rsidP="0060584B">
            <w:pPr>
              <w:pStyle w:val="TableParagraph"/>
              <w:spacing w:line="265" w:lineRule="exact"/>
              <w:ind w:left="21"/>
              <w:rPr>
                <w:sz w:val="24"/>
              </w:rPr>
            </w:pPr>
            <w:r>
              <w:rPr>
                <w:spacing w:val="-4"/>
                <w:sz w:val="24"/>
              </w:rPr>
              <w:t>3,97</w:t>
            </w:r>
          </w:p>
        </w:tc>
      </w:tr>
      <w:tr w:rsidR="00080AA1" w:rsidTr="0060584B">
        <w:trPr>
          <w:trHeight w:val="296"/>
          <w:jc w:val="center"/>
        </w:trPr>
        <w:tc>
          <w:tcPr>
            <w:tcW w:w="2148" w:type="dxa"/>
            <w:vMerge w:val="restart"/>
            <w:shd w:val="clear" w:color="auto" w:fill="auto"/>
          </w:tcPr>
          <w:p w:rsidR="00080AA1" w:rsidRDefault="00080AA1" w:rsidP="0060584B">
            <w:pPr>
              <w:pStyle w:val="TableParagraph"/>
              <w:spacing w:line="240" w:lineRule="auto"/>
              <w:jc w:val="left"/>
              <w:rPr>
                <w:b/>
                <w:sz w:val="24"/>
              </w:rPr>
            </w:pPr>
          </w:p>
          <w:p w:rsidR="00080AA1" w:rsidRDefault="00080AA1" w:rsidP="0060584B">
            <w:pPr>
              <w:pStyle w:val="TableParagraph"/>
              <w:spacing w:line="240" w:lineRule="auto"/>
              <w:ind w:left="143"/>
              <w:rPr>
                <w:b/>
                <w:sz w:val="24"/>
              </w:rPr>
            </w:pPr>
            <w:r w:rsidRPr="008026E7">
              <w:rPr>
                <w:b/>
                <w:sz w:val="24"/>
              </w:rPr>
              <w:t>Type of organization</w:t>
            </w:r>
          </w:p>
        </w:tc>
        <w:tc>
          <w:tcPr>
            <w:tcW w:w="3111" w:type="dxa"/>
            <w:tcBorders>
              <w:bottom w:val="nil"/>
            </w:tcBorders>
            <w:shd w:val="clear" w:color="auto" w:fill="auto"/>
          </w:tcPr>
          <w:p w:rsidR="00080AA1" w:rsidRDefault="00080AA1" w:rsidP="0060584B">
            <w:pPr>
              <w:pStyle w:val="TableParagraph"/>
              <w:spacing w:before="13" w:line="263" w:lineRule="exact"/>
              <w:ind w:left="71"/>
              <w:jc w:val="left"/>
              <w:rPr>
                <w:sz w:val="24"/>
              </w:rPr>
            </w:pPr>
            <w:r w:rsidRPr="008026E7">
              <w:rPr>
                <w:sz w:val="24"/>
              </w:rPr>
              <w:t>Accounting firm</w:t>
            </w:r>
          </w:p>
        </w:tc>
        <w:tc>
          <w:tcPr>
            <w:tcW w:w="1134" w:type="dxa"/>
            <w:tcBorders>
              <w:bottom w:val="nil"/>
            </w:tcBorders>
            <w:shd w:val="clear" w:color="auto" w:fill="auto"/>
          </w:tcPr>
          <w:p w:rsidR="00080AA1" w:rsidRDefault="00080AA1" w:rsidP="0060584B">
            <w:pPr>
              <w:pStyle w:val="TableParagraph"/>
              <w:spacing w:before="13" w:line="263" w:lineRule="exact"/>
              <w:ind w:left="26" w:right="5"/>
              <w:rPr>
                <w:sz w:val="24"/>
              </w:rPr>
            </w:pPr>
            <w:r>
              <w:rPr>
                <w:spacing w:val="-4"/>
                <w:sz w:val="24"/>
              </w:rPr>
              <w:t>2,42</w:t>
            </w:r>
          </w:p>
        </w:tc>
        <w:tc>
          <w:tcPr>
            <w:tcW w:w="1134" w:type="dxa"/>
            <w:tcBorders>
              <w:bottom w:val="nil"/>
            </w:tcBorders>
            <w:shd w:val="clear" w:color="auto" w:fill="auto"/>
          </w:tcPr>
          <w:p w:rsidR="00080AA1" w:rsidRDefault="00080AA1" w:rsidP="0060584B">
            <w:pPr>
              <w:pStyle w:val="TableParagraph"/>
              <w:spacing w:before="13" w:line="263" w:lineRule="exact"/>
              <w:ind w:left="93" w:right="75"/>
              <w:rPr>
                <w:sz w:val="24"/>
              </w:rPr>
            </w:pPr>
            <w:r>
              <w:rPr>
                <w:spacing w:val="-4"/>
                <w:sz w:val="24"/>
              </w:rPr>
              <w:t>3,73</w:t>
            </w:r>
          </w:p>
        </w:tc>
        <w:tc>
          <w:tcPr>
            <w:tcW w:w="1097" w:type="dxa"/>
            <w:tcBorders>
              <w:bottom w:val="nil"/>
            </w:tcBorders>
            <w:shd w:val="clear" w:color="auto" w:fill="auto"/>
          </w:tcPr>
          <w:p w:rsidR="00080AA1" w:rsidRDefault="00080AA1" w:rsidP="0060584B">
            <w:pPr>
              <w:pStyle w:val="TableParagraph"/>
              <w:spacing w:before="13" w:line="263" w:lineRule="exact"/>
              <w:ind w:left="90" w:right="75"/>
              <w:rPr>
                <w:sz w:val="24"/>
              </w:rPr>
            </w:pPr>
            <w:r>
              <w:rPr>
                <w:spacing w:val="-4"/>
                <w:sz w:val="24"/>
              </w:rPr>
              <w:t>4,33</w:t>
            </w:r>
          </w:p>
        </w:tc>
        <w:tc>
          <w:tcPr>
            <w:tcW w:w="1029" w:type="dxa"/>
            <w:tcBorders>
              <w:bottom w:val="nil"/>
            </w:tcBorders>
            <w:shd w:val="clear" w:color="auto" w:fill="auto"/>
          </w:tcPr>
          <w:p w:rsidR="00080AA1" w:rsidRDefault="00080AA1" w:rsidP="0060584B">
            <w:pPr>
              <w:pStyle w:val="TableParagraph"/>
              <w:spacing w:before="13" w:line="263" w:lineRule="exact"/>
              <w:ind w:left="21"/>
              <w:rPr>
                <w:sz w:val="24"/>
              </w:rPr>
            </w:pPr>
            <w:r>
              <w:rPr>
                <w:spacing w:val="-4"/>
                <w:sz w:val="24"/>
              </w:rPr>
              <w:t>3,92</w:t>
            </w:r>
          </w:p>
        </w:tc>
      </w:tr>
      <w:tr w:rsidR="00080AA1" w:rsidTr="0060584B">
        <w:trPr>
          <w:trHeight w:val="280"/>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bottom w:val="nil"/>
            </w:tcBorders>
            <w:shd w:val="clear" w:color="auto" w:fill="auto"/>
          </w:tcPr>
          <w:p w:rsidR="00080AA1" w:rsidRDefault="00080AA1" w:rsidP="0060584B">
            <w:pPr>
              <w:pStyle w:val="TableParagraph"/>
              <w:spacing w:line="260" w:lineRule="exact"/>
              <w:ind w:left="71"/>
              <w:jc w:val="left"/>
              <w:rPr>
                <w:sz w:val="24"/>
              </w:rPr>
            </w:pPr>
            <w:r>
              <w:rPr>
                <w:sz w:val="24"/>
              </w:rPr>
              <w:t>C</w:t>
            </w:r>
            <w:r w:rsidRPr="008026E7">
              <w:rPr>
                <w:sz w:val="24"/>
              </w:rPr>
              <w:t>ivil service</w:t>
            </w:r>
          </w:p>
        </w:tc>
        <w:tc>
          <w:tcPr>
            <w:tcW w:w="1134" w:type="dxa"/>
            <w:tcBorders>
              <w:top w:val="nil"/>
              <w:bottom w:val="nil"/>
            </w:tcBorders>
            <w:shd w:val="clear" w:color="auto" w:fill="auto"/>
          </w:tcPr>
          <w:p w:rsidR="00080AA1" w:rsidRDefault="00080AA1" w:rsidP="0060584B">
            <w:pPr>
              <w:pStyle w:val="TableParagraph"/>
              <w:spacing w:line="260" w:lineRule="exact"/>
              <w:ind w:left="26" w:right="5"/>
              <w:rPr>
                <w:sz w:val="24"/>
              </w:rPr>
            </w:pPr>
            <w:r>
              <w:rPr>
                <w:spacing w:val="-4"/>
                <w:sz w:val="24"/>
              </w:rPr>
              <w:t>2,56</w:t>
            </w:r>
          </w:p>
        </w:tc>
        <w:tc>
          <w:tcPr>
            <w:tcW w:w="1134" w:type="dxa"/>
            <w:tcBorders>
              <w:top w:val="nil"/>
              <w:bottom w:val="nil"/>
            </w:tcBorders>
            <w:shd w:val="clear" w:color="auto" w:fill="auto"/>
          </w:tcPr>
          <w:p w:rsidR="00080AA1" w:rsidRDefault="00080AA1" w:rsidP="0060584B">
            <w:pPr>
              <w:pStyle w:val="TableParagraph"/>
              <w:spacing w:line="260" w:lineRule="exact"/>
              <w:ind w:left="93" w:right="75"/>
              <w:rPr>
                <w:sz w:val="24"/>
              </w:rPr>
            </w:pPr>
            <w:r>
              <w:rPr>
                <w:spacing w:val="-4"/>
                <w:sz w:val="24"/>
              </w:rPr>
              <w:t>3,88</w:t>
            </w:r>
          </w:p>
        </w:tc>
        <w:tc>
          <w:tcPr>
            <w:tcW w:w="1097" w:type="dxa"/>
            <w:tcBorders>
              <w:top w:val="nil"/>
              <w:bottom w:val="nil"/>
            </w:tcBorders>
            <w:shd w:val="clear" w:color="auto" w:fill="auto"/>
          </w:tcPr>
          <w:p w:rsidR="00080AA1" w:rsidRDefault="00080AA1" w:rsidP="0060584B">
            <w:pPr>
              <w:pStyle w:val="TableParagraph"/>
              <w:spacing w:line="260" w:lineRule="exact"/>
              <w:ind w:left="90" w:right="75"/>
              <w:rPr>
                <w:sz w:val="24"/>
              </w:rPr>
            </w:pPr>
            <w:r>
              <w:rPr>
                <w:spacing w:val="-4"/>
                <w:sz w:val="24"/>
              </w:rPr>
              <w:t>4,31</w:t>
            </w:r>
          </w:p>
        </w:tc>
        <w:tc>
          <w:tcPr>
            <w:tcW w:w="1029" w:type="dxa"/>
            <w:tcBorders>
              <w:top w:val="nil"/>
              <w:bottom w:val="nil"/>
            </w:tcBorders>
            <w:shd w:val="clear" w:color="auto" w:fill="auto"/>
          </w:tcPr>
          <w:p w:rsidR="00080AA1" w:rsidRDefault="00080AA1" w:rsidP="0060584B">
            <w:pPr>
              <w:pStyle w:val="TableParagraph"/>
              <w:spacing w:line="260" w:lineRule="exact"/>
              <w:ind w:left="21"/>
              <w:rPr>
                <w:sz w:val="24"/>
              </w:rPr>
            </w:pPr>
            <w:r>
              <w:rPr>
                <w:spacing w:val="-4"/>
                <w:sz w:val="24"/>
              </w:rPr>
              <w:t>4,05</w:t>
            </w:r>
          </w:p>
        </w:tc>
      </w:tr>
      <w:tr w:rsidR="00080AA1" w:rsidTr="0060584B">
        <w:trPr>
          <w:trHeight w:val="280"/>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bottom w:val="nil"/>
            </w:tcBorders>
            <w:shd w:val="clear" w:color="auto" w:fill="auto"/>
          </w:tcPr>
          <w:p w:rsidR="00080AA1" w:rsidRDefault="00080AA1" w:rsidP="0060584B">
            <w:pPr>
              <w:pStyle w:val="TableParagraph"/>
              <w:spacing w:line="260" w:lineRule="exact"/>
              <w:ind w:left="71"/>
              <w:jc w:val="left"/>
              <w:rPr>
                <w:sz w:val="24"/>
              </w:rPr>
            </w:pPr>
            <w:r>
              <w:rPr>
                <w:sz w:val="24"/>
              </w:rPr>
              <w:t>P</w:t>
            </w:r>
            <w:r w:rsidRPr="008026E7">
              <w:rPr>
                <w:sz w:val="24"/>
              </w:rPr>
              <w:t>rivate organization</w:t>
            </w:r>
          </w:p>
        </w:tc>
        <w:tc>
          <w:tcPr>
            <w:tcW w:w="1134" w:type="dxa"/>
            <w:tcBorders>
              <w:top w:val="nil"/>
              <w:bottom w:val="nil"/>
            </w:tcBorders>
            <w:shd w:val="clear" w:color="auto" w:fill="auto"/>
          </w:tcPr>
          <w:p w:rsidR="00080AA1" w:rsidRDefault="00080AA1" w:rsidP="0060584B">
            <w:pPr>
              <w:pStyle w:val="TableParagraph"/>
              <w:spacing w:line="260" w:lineRule="exact"/>
              <w:ind w:left="26" w:right="5"/>
              <w:rPr>
                <w:sz w:val="24"/>
              </w:rPr>
            </w:pPr>
            <w:r>
              <w:rPr>
                <w:spacing w:val="-4"/>
                <w:sz w:val="24"/>
              </w:rPr>
              <w:t>2,68</w:t>
            </w:r>
          </w:p>
        </w:tc>
        <w:tc>
          <w:tcPr>
            <w:tcW w:w="1134" w:type="dxa"/>
            <w:tcBorders>
              <w:top w:val="nil"/>
              <w:bottom w:val="nil"/>
            </w:tcBorders>
            <w:shd w:val="clear" w:color="auto" w:fill="auto"/>
          </w:tcPr>
          <w:p w:rsidR="00080AA1" w:rsidRDefault="00080AA1" w:rsidP="0060584B">
            <w:pPr>
              <w:pStyle w:val="TableParagraph"/>
              <w:spacing w:line="260" w:lineRule="exact"/>
              <w:ind w:left="93" w:right="75"/>
              <w:rPr>
                <w:sz w:val="24"/>
              </w:rPr>
            </w:pPr>
            <w:r>
              <w:rPr>
                <w:spacing w:val="-4"/>
                <w:sz w:val="24"/>
              </w:rPr>
              <w:t>3,82</w:t>
            </w:r>
          </w:p>
        </w:tc>
        <w:tc>
          <w:tcPr>
            <w:tcW w:w="1097" w:type="dxa"/>
            <w:tcBorders>
              <w:top w:val="nil"/>
              <w:bottom w:val="nil"/>
            </w:tcBorders>
            <w:shd w:val="clear" w:color="auto" w:fill="auto"/>
          </w:tcPr>
          <w:p w:rsidR="00080AA1" w:rsidRDefault="00080AA1" w:rsidP="0060584B">
            <w:pPr>
              <w:pStyle w:val="TableParagraph"/>
              <w:spacing w:line="260" w:lineRule="exact"/>
              <w:ind w:left="90" w:right="75"/>
              <w:rPr>
                <w:sz w:val="24"/>
              </w:rPr>
            </w:pPr>
            <w:r>
              <w:rPr>
                <w:spacing w:val="-4"/>
                <w:sz w:val="24"/>
              </w:rPr>
              <w:t>4,39</w:t>
            </w:r>
          </w:p>
        </w:tc>
        <w:tc>
          <w:tcPr>
            <w:tcW w:w="1029" w:type="dxa"/>
            <w:tcBorders>
              <w:top w:val="nil"/>
              <w:bottom w:val="nil"/>
            </w:tcBorders>
            <w:shd w:val="clear" w:color="auto" w:fill="auto"/>
          </w:tcPr>
          <w:p w:rsidR="00080AA1" w:rsidRDefault="00080AA1" w:rsidP="0060584B">
            <w:pPr>
              <w:pStyle w:val="TableParagraph"/>
              <w:spacing w:line="260" w:lineRule="exact"/>
              <w:ind w:left="21"/>
              <w:rPr>
                <w:sz w:val="24"/>
              </w:rPr>
            </w:pPr>
            <w:r>
              <w:rPr>
                <w:spacing w:val="-4"/>
                <w:sz w:val="24"/>
              </w:rPr>
              <w:t>4,09</w:t>
            </w:r>
          </w:p>
        </w:tc>
      </w:tr>
      <w:tr w:rsidR="00080AA1" w:rsidTr="0060584B">
        <w:trPr>
          <w:trHeight w:val="293"/>
          <w:jc w:val="center"/>
        </w:trPr>
        <w:tc>
          <w:tcPr>
            <w:tcW w:w="2148" w:type="dxa"/>
            <w:vMerge w:val="restart"/>
            <w:shd w:val="clear" w:color="auto" w:fill="auto"/>
          </w:tcPr>
          <w:p w:rsidR="00080AA1" w:rsidRDefault="00080AA1" w:rsidP="0060584B">
            <w:pPr>
              <w:pStyle w:val="TableParagraph"/>
              <w:spacing w:before="162" w:line="240" w:lineRule="auto"/>
              <w:ind w:left="69"/>
              <w:rPr>
                <w:b/>
                <w:sz w:val="24"/>
              </w:rPr>
            </w:pPr>
            <w:r w:rsidRPr="008026E7">
              <w:rPr>
                <w:b/>
                <w:sz w:val="24"/>
              </w:rPr>
              <w:t>CSR awareness</w:t>
            </w:r>
          </w:p>
        </w:tc>
        <w:tc>
          <w:tcPr>
            <w:tcW w:w="3111" w:type="dxa"/>
            <w:tcBorders>
              <w:bottom w:val="nil"/>
            </w:tcBorders>
            <w:shd w:val="clear" w:color="auto" w:fill="auto"/>
          </w:tcPr>
          <w:p w:rsidR="00080AA1" w:rsidRDefault="00080AA1" w:rsidP="0060584B">
            <w:pPr>
              <w:pStyle w:val="TableParagraph"/>
              <w:spacing w:before="10" w:line="263" w:lineRule="exact"/>
              <w:ind w:left="71"/>
              <w:jc w:val="left"/>
              <w:rPr>
                <w:sz w:val="24"/>
              </w:rPr>
            </w:pPr>
            <w:r>
              <w:rPr>
                <w:spacing w:val="-5"/>
                <w:sz w:val="24"/>
              </w:rPr>
              <w:t>No</w:t>
            </w:r>
          </w:p>
        </w:tc>
        <w:tc>
          <w:tcPr>
            <w:tcW w:w="1134" w:type="dxa"/>
            <w:tcBorders>
              <w:bottom w:val="nil"/>
            </w:tcBorders>
            <w:shd w:val="clear" w:color="auto" w:fill="auto"/>
          </w:tcPr>
          <w:p w:rsidR="00080AA1" w:rsidRDefault="00080AA1" w:rsidP="0060584B">
            <w:pPr>
              <w:pStyle w:val="TableParagraph"/>
              <w:spacing w:before="10" w:line="263" w:lineRule="exact"/>
              <w:ind w:left="26" w:right="5"/>
              <w:rPr>
                <w:sz w:val="24"/>
              </w:rPr>
            </w:pPr>
            <w:r>
              <w:rPr>
                <w:spacing w:val="-4"/>
                <w:sz w:val="24"/>
              </w:rPr>
              <w:t>2,78</w:t>
            </w:r>
          </w:p>
        </w:tc>
        <w:tc>
          <w:tcPr>
            <w:tcW w:w="1134" w:type="dxa"/>
            <w:tcBorders>
              <w:bottom w:val="nil"/>
            </w:tcBorders>
            <w:shd w:val="clear" w:color="auto" w:fill="auto"/>
          </w:tcPr>
          <w:p w:rsidR="00080AA1" w:rsidRDefault="00080AA1" w:rsidP="0060584B">
            <w:pPr>
              <w:pStyle w:val="TableParagraph"/>
              <w:spacing w:before="10" w:line="263" w:lineRule="exact"/>
              <w:ind w:left="93" w:right="75"/>
              <w:rPr>
                <w:sz w:val="24"/>
              </w:rPr>
            </w:pPr>
            <w:r>
              <w:rPr>
                <w:spacing w:val="-4"/>
                <w:sz w:val="24"/>
              </w:rPr>
              <w:t>3,77</w:t>
            </w:r>
          </w:p>
        </w:tc>
        <w:tc>
          <w:tcPr>
            <w:tcW w:w="1097" w:type="dxa"/>
            <w:tcBorders>
              <w:bottom w:val="nil"/>
            </w:tcBorders>
            <w:shd w:val="clear" w:color="auto" w:fill="auto"/>
          </w:tcPr>
          <w:p w:rsidR="00080AA1" w:rsidRDefault="00080AA1" w:rsidP="0060584B">
            <w:pPr>
              <w:pStyle w:val="TableParagraph"/>
              <w:spacing w:before="10" w:line="263" w:lineRule="exact"/>
              <w:ind w:left="90" w:right="75"/>
              <w:rPr>
                <w:sz w:val="24"/>
              </w:rPr>
            </w:pPr>
            <w:r>
              <w:rPr>
                <w:spacing w:val="-4"/>
                <w:sz w:val="24"/>
              </w:rPr>
              <w:t>4,39</w:t>
            </w:r>
          </w:p>
        </w:tc>
        <w:tc>
          <w:tcPr>
            <w:tcW w:w="1029" w:type="dxa"/>
            <w:tcBorders>
              <w:bottom w:val="nil"/>
            </w:tcBorders>
            <w:shd w:val="clear" w:color="auto" w:fill="auto"/>
          </w:tcPr>
          <w:p w:rsidR="00080AA1" w:rsidRDefault="00080AA1" w:rsidP="0060584B">
            <w:pPr>
              <w:pStyle w:val="TableParagraph"/>
              <w:spacing w:before="10" w:line="263" w:lineRule="exact"/>
              <w:ind w:left="21"/>
              <w:rPr>
                <w:sz w:val="24"/>
              </w:rPr>
            </w:pPr>
            <w:r>
              <w:rPr>
                <w:spacing w:val="-4"/>
                <w:sz w:val="24"/>
              </w:rPr>
              <w:t>4,05</w:t>
            </w:r>
          </w:p>
        </w:tc>
      </w:tr>
      <w:tr w:rsidR="00080AA1" w:rsidTr="0060584B">
        <w:trPr>
          <w:trHeight w:val="285"/>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tcBorders>
            <w:shd w:val="clear" w:color="auto" w:fill="auto"/>
          </w:tcPr>
          <w:p w:rsidR="00080AA1" w:rsidRDefault="00080AA1" w:rsidP="0060584B">
            <w:pPr>
              <w:pStyle w:val="TableParagraph"/>
              <w:spacing w:line="265" w:lineRule="exact"/>
              <w:ind w:left="71"/>
              <w:jc w:val="left"/>
              <w:rPr>
                <w:sz w:val="24"/>
              </w:rPr>
            </w:pPr>
            <w:r>
              <w:rPr>
                <w:spacing w:val="-5"/>
                <w:sz w:val="24"/>
              </w:rPr>
              <w:t>Yes</w:t>
            </w:r>
          </w:p>
        </w:tc>
        <w:tc>
          <w:tcPr>
            <w:tcW w:w="1134" w:type="dxa"/>
            <w:tcBorders>
              <w:top w:val="nil"/>
            </w:tcBorders>
            <w:shd w:val="clear" w:color="auto" w:fill="auto"/>
          </w:tcPr>
          <w:p w:rsidR="00080AA1" w:rsidRDefault="00080AA1" w:rsidP="0060584B">
            <w:pPr>
              <w:pStyle w:val="TableParagraph"/>
              <w:spacing w:line="265" w:lineRule="exact"/>
              <w:ind w:left="26" w:right="5"/>
              <w:rPr>
                <w:sz w:val="24"/>
              </w:rPr>
            </w:pPr>
            <w:r>
              <w:rPr>
                <w:spacing w:val="-4"/>
                <w:sz w:val="24"/>
              </w:rPr>
              <w:t>2,63</w:t>
            </w:r>
          </w:p>
        </w:tc>
        <w:tc>
          <w:tcPr>
            <w:tcW w:w="1134" w:type="dxa"/>
            <w:tcBorders>
              <w:top w:val="nil"/>
            </w:tcBorders>
            <w:shd w:val="clear" w:color="auto" w:fill="auto"/>
          </w:tcPr>
          <w:p w:rsidR="00080AA1" w:rsidRDefault="00080AA1" w:rsidP="0060584B">
            <w:pPr>
              <w:pStyle w:val="TableParagraph"/>
              <w:spacing w:line="265" w:lineRule="exact"/>
              <w:ind w:left="93" w:right="75"/>
              <w:rPr>
                <w:sz w:val="24"/>
              </w:rPr>
            </w:pPr>
            <w:r>
              <w:rPr>
                <w:spacing w:val="-4"/>
                <w:sz w:val="24"/>
              </w:rPr>
              <w:t>3,82</w:t>
            </w:r>
          </w:p>
        </w:tc>
        <w:tc>
          <w:tcPr>
            <w:tcW w:w="1097" w:type="dxa"/>
            <w:tcBorders>
              <w:top w:val="nil"/>
            </w:tcBorders>
            <w:shd w:val="clear" w:color="auto" w:fill="auto"/>
          </w:tcPr>
          <w:p w:rsidR="00080AA1" w:rsidRDefault="00080AA1" w:rsidP="0060584B">
            <w:pPr>
              <w:pStyle w:val="TableParagraph"/>
              <w:spacing w:line="265" w:lineRule="exact"/>
              <w:ind w:left="90" w:right="75"/>
              <w:rPr>
                <w:sz w:val="24"/>
              </w:rPr>
            </w:pPr>
            <w:r>
              <w:rPr>
                <w:spacing w:val="-4"/>
                <w:sz w:val="24"/>
              </w:rPr>
              <w:t>4,31</w:t>
            </w:r>
          </w:p>
        </w:tc>
        <w:tc>
          <w:tcPr>
            <w:tcW w:w="1029" w:type="dxa"/>
            <w:tcBorders>
              <w:top w:val="nil"/>
            </w:tcBorders>
            <w:shd w:val="clear" w:color="auto" w:fill="auto"/>
          </w:tcPr>
          <w:p w:rsidR="00080AA1" w:rsidRDefault="00080AA1" w:rsidP="0060584B">
            <w:pPr>
              <w:pStyle w:val="TableParagraph"/>
              <w:spacing w:line="265" w:lineRule="exact"/>
              <w:ind w:left="21"/>
              <w:rPr>
                <w:sz w:val="24"/>
              </w:rPr>
            </w:pPr>
            <w:r>
              <w:rPr>
                <w:spacing w:val="-4"/>
                <w:sz w:val="24"/>
              </w:rPr>
              <w:t>4,09</w:t>
            </w:r>
          </w:p>
        </w:tc>
      </w:tr>
      <w:tr w:rsidR="00080AA1" w:rsidTr="0060584B">
        <w:trPr>
          <w:trHeight w:val="296"/>
          <w:jc w:val="center"/>
        </w:trPr>
        <w:tc>
          <w:tcPr>
            <w:tcW w:w="2148" w:type="dxa"/>
            <w:vMerge w:val="restart"/>
            <w:shd w:val="clear" w:color="auto" w:fill="auto"/>
          </w:tcPr>
          <w:p w:rsidR="00080AA1" w:rsidRDefault="00080AA1" w:rsidP="0060584B">
            <w:pPr>
              <w:pStyle w:val="TableParagraph"/>
              <w:spacing w:before="162" w:line="240" w:lineRule="auto"/>
              <w:ind w:left="88"/>
              <w:jc w:val="left"/>
              <w:rPr>
                <w:b/>
                <w:sz w:val="24"/>
              </w:rPr>
            </w:pPr>
            <w:r w:rsidRPr="008026E7">
              <w:rPr>
                <w:b/>
                <w:sz w:val="24"/>
              </w:rPr>
              <w:t>CSR formalization</w:t>
            </w:r>
          </w:p>
        </w:tc>
        <w:tc>
          <w:tcPr>
            <w:tcW w:w="3111" w:type="dxa"/>
            <w:tcBorders>
              <w:bottom w:val="nil"/>
            </w:tcBorders>
            <w:shd w:val="clear" w:color="auto" w:fill="auto"/>
          </w:tcPr>
          <w:p w:rsidR="00080AA1" w:rsidRDefault="00080AA1" w:rsidP="0060584B">
            <w:pPr>
              <w:pStyle w:val="TableParagraph"/>
              <w:spacing w:before="13" w:line="263" w:lineRule="exact"/>
              <w:ind w:left="71"/>
              <w:jc w:val="left"/>
              <w:rPr>
                <w:sz w:val="24"/>
              </w:rPr>
            </w:pPr>
            <w:r>
              <w:rPr>
                <w:spacing w:val="-5"/>
                <w:sz w:val="24"/>
              </w:rPr>
              <w:t>No</w:t>
            </w:r>
          </w:p>
        </w:tc>
        <w:tc>
          <w:tcPr>
            <w:tcW w:w="1134" w:type="dxa"/>
            <w:tcBorders>
              <w:bottom w:val="nil"/>
            </w:tcBorders>
            <w:shd w:val="clear" w:color="auto" w:fill="auto"/>
          </w:tcPr>
          <w:p w:rsidR="00080AA1" w:rsidRDefault="00080AA1" w:rsidP="0060584B">
            <w:pPr>
              <w:pStyle w:val="TableParagraph"/>
              <w:spacing w:before="13" w:line="263" w:lineRule="exact"/>
              <w:ind w:left="26" w:right="5"/>
              <w:rPr>
                <w:sz w:val="24"/>
              </w:rPr>
            </w:pPr>
            <w:r>
              <w:rPr>
                <w:spacing w:val="-4"/>
                <w:sz w:val="24"/>
              </w:rPr>
              <w:t>2,62</w:t>
            </w:r>
          </w:p>
        </w:tc>
        <w:tc>
          <w:tcPr>
            <w:tcW w:w="1134" w:type="dxa"/>
            <w:tcBorders>
              <w:bottom w:val="nil"/>
            </w:tcBorders>
            <w:shd w:val="clear" w:color="auto" w:fill="auto"/>
          </w:tcPr>
          <w:p w:rsidR="00080AA1" w:rsidRDefault="00080AA1" w:rsidP="0060584B">
            <w:pPr>
              <w:pStyle w:val="TableParagraph"/>
              <w:spacing w:before="13" w:line="263" w:lineRule="exact"/>
              <w:ind w:left="93" w:right="75"/>
              <w:rPr>
                <w:sz w:val="24"/>
              </w:rPr>
            </w:pPr>
            <w:r>
              <w:rPr>
                <w:spacing w:val="-4"/>
                <w:sz w:val="24"/>
              </w:rPr>
              <w:t>3,75</w:t>
            </w:r>
          </w:p>
        </w:tc>
        <w:tc>
          <w:tcPr>
            <w:tcW w:w="1097" w:type="dxa"/>
            <w:tcBorders>
              <w:bottom w:val="nil"/>
            </w:tcBorders>
            <w:shd w:val="clear" w:color="auto" w:fill="auto"/>
          </w:tcPr>
          <w:p w:rsidR="00080AA1" w:rsidRDefault="00080AA1" w:rsidP="0060584B">
            <w:pPr>
              <w:pStyle w:val="TableParagraph"/>
              <w:spacing w:before="13" w:line="263" w:lineRule="exact"/>
              <w:ind w:left="90" w:right="75"/>
              <w:rPr>
                <w:sz w:val="24"/>
              </w:rPr>
            </w:pPr>
            <w:r>
              <w:rPr>
                <w:spacing w:val="-4"/>
                <w:sz w:val="24"/>
              </w:rPr>
              <w:t>4,35</w:t>
            </w:r>
          </w:p>
        </w:tc>
        <w:tc>
          <w:tcPr>
            <w:tcW w:w="1029" w:type="dxa"/>
            <w:tcBorders>
              <w:bottom w:val="nil"/>
            </w:tcBorders>
            <w:shd w:val="clear" w:color="auto" w:fill="auto"/>
          </w:tcPr>
          <w:p w:rsidR="00080AA1" w:rsidRDefault="00080AA1" w:rsidP="0060584B">
            <w:pPr>
              <w:pStyle w:val="TableParagraph"/>
              <w:spacing w:before="13" w:line="263" w:lineRule="exact"/>
              <w:ind w:left="21"/>
              <w:rPr>
                <w:sz w:val="24"/>
              </w:rPr>
            </w:pPr>
            <w:r>
              <w:rPr>
                <w:spacing w:val="-4"/>
                <w:sz w:val="24"/>
              </w:rPr>
              <w:t>4,05</w:t>
            </w:r>
          </w:p>
        </w:tc>
      </w:tr>
      <w:tr w:rsidR="00080AA1" w:rsidTr="0060584B">
        <w:trPr>
          <w:trHeight w:val="285"/>
          <w:jc w:val="center"/>
        </w:trPr>
        <w:tc>
          <w:tcPr>
            <w:tcW w:w="2148" w:type="dxa"/>
            <w:vMerge/>
            <w:tcBorders>
              <w:top w:val="nil"/>
            </w:tcBorders>
            <w:shd w:val="clear" w:color="auto" w:fill="auto"/>
          </w:tcPr>
          <w:p w:rsidR="00080AA1" w:rsidRDefault="00080AA1" w:rsidP="0060584B">
            <w:pPr>
              <w:rPr>
                <w:sz w:val="2"/>
                <w:szCs w:val="2"/>
              </w:rPr>
            </w:pPr>
          </w:p>
        </w:tc>
        <w:tc>
          <w:tcPr>
            <w:tcW w:w="3111" w:type="dxa"/>
            <w:tcBorders>
              <w:top w:val="nil"/>
            </w:tcBorders>
            <w:shd w:val="clear" w:color="auto" w:fill="auto"/>
          </w:tcPr>
          <w:p w:rsidR="00080AA1" w:rsidRDefault="00080AA1" w:rsidP="0060584B">
            <w:pPr>
              <w:pStyle w:val="TableParagraph"/>
              <w:spacing w:line="265" w:lineRule="exact"/>
              <w:ind w:left="71"/>
              <w:jc w:val="left"/>
              <w:rPr>
                <w:sz w:val="24"/>
              </w:rPr>
            </w:pPr>
            <w:r>
              <w:rPr>
                <w:spacing w:val="-5"/>
                <w:sz w:val="24"/>
              </w:rPr>
              <w:t>Yes</w:t>
            </w:r>
          </w:p>
        </w:tc>
        <w:tc>
          <w:tcPr>
            <w:tcW w:w="1134" w:type="dxa"/>
            <w:tcBorders>
              <w:top w:val="nil"/>
            </w:tcBorders>
            <w:shd w:val="clear" w:color="auto" w:fill="auto"/>
          </w:tcPr>
          <w:p w:rsidR="00080AA1" w:rsidRDefault="00080AA1" w:rsidP="0060584B">
            <w:pPr>
              <w:pStyle w:val="TableParagraph"/>
              <w:spacing w:line="265" w:lineRule="exact"/>
              <w:ind w:left="26" w:right="5"/>
              <w:rPr>
                <w:sz w:val="24"/>
              </w:rPr>
            </w:pPr>
            <w:r>
              <w:rPr>
                <w:spacing w:val="-4"/>
                <w:sz w:val="24"/>
              </w:rPr>
              <w:t>2,51</w:t>
            </w:r>
          </w:p>
        </w:tc>
        <w:tc>
          <w:tcPr>
            <w:tcW w:w="1134" w:type="dxa"/>
            <w:tcBorders>
              <w:top w:val="nil"/>
            </w:tcBorders>
            <w:shd w:val="clear" w:color="auto" w:fill="auto"/>
          </w:tcPr>
          <w:p w:rsidR="00080AA1" w:rsidRDefault="00080AA1" w:rsidP="0060584B">
            <w:pPr>
              <w:pStyle w:val="TableParagraph"/>
              <w:spacing w:line="265" w:lineRule="exact"/>
              <w:ind w:left="93" w:right="75"/>
              <w:rPr>
                <w:sz w:val="24"/>
              </w:rPr>
            </w:pPr>
            <w:r>
              <w:rPr>
                <w:spacing w:val="-4"/>
                <w:sz w:val="24"/>
              </w:rPr>
              <w:t>3,99</w:t>
            </w:r>
          </w:p>
        </w:tc>
        <w:tc>
          <w:tcPr>
            <w:tcW w:w="1097" w:type="dxa"/>
            <w:tcBorders>
              <w:top w:val="nil"/>
            </w:tcBorders>
            <w:shd w:val="clear" w:color="auto" w:fill="auto"/>
          </w:tcPr>
          <w:p w:rsidR="00080AA1" w:rsidRDefault="00080AA1" w:rsidP="0060584B">
            <w:pPr>
              <w:pStyle w:val="TableParagraph"/>
              <w:spacing w:line="265" w:lineRule="exact"/>
              <w:ind w:left="90" w:right="75"/>
              <w:rPr>
                <w:sz w:val="24"/>
              </w:rPr>
            </w:pPr>
            <w:r>
              <w:rPr>
                <w:spacing w:val="-4"/>
                <w:sz w:val="24"/>
              </w:rPr>
              <w:t>4,42</w:t>
            </w:r>
          </w:p>
        </w:tc>
        <w:tc>
          <w:tcPr>
            <w:tcW w:w="1029" w:type="dxa"/>
            <w:tcBorders>
              <w:top w:val="nil"/>
            </w:tcBorders>
            <w:shd w:val="clear" w:color="auto" w:fill="auto"/>
          </w:tcPr>
          <w:p w:rsidR="00080AA1" w:rsidRDefault="00080AA1" w:rsidP="0060584B">
            <w:pPr>
              <w:pStyle w:val="TableParagraph"/>
              <w:spacing w:line="265" w:lineRule="exact"/>
              <w:ind w:left="21"/>
              <w:rPr>
                <w:sz w:val="24"/>
              </w:rPr>
            </w:pPr>
            <w:r>
              <w:rPr>
                <w:spacing w:val="-4"/>
                <w:sz w:val="24"/>
              </w:rPr>
              <w:t>4,12</w:t>
            </w:r>
          </w:p>
        </w:tc>
      </w:tr>
    </w:tbl>
    <w:p w:rsidR="00080AA1" w:rsidRDefault="00080AA1" w:rsidP="00080AA1">
      <w:pPr>
        <w:pStyle w:val="Corpsdetexte"/>
        <w:spacing w:before="1"/>
        <w:ind w:left="0" w:right="696"/>
      </w:pPr>
    </w:p>
    <w:p w:rsidR="00080AA1" w:rsidRPr="000D4DCD" w:rsidRDefault="00080AA1" w:rsidP="00080AA1">
      <w:pPr>
        <w:pStyle w:val="Corpsdetexte"/>
        <w:spacing w:line="360" w:lineRule="auto"/>
        <w:ind w:left="0" w:right="6"/>
        <w:rPr>
          <w:lang w:val="en-US"/>
        </w:rPr>
      </w:pPr>
      <w:r w:rsidRPr="000D4DCD">
        <w:rPr>
          <w:lang w:val="en-US"/>
        </w:rPr>
        <w:t>Thus, gender does not seem to have a determining effect on the perceptions of accountants. Indeed, regardless of gender (male/female), the average scores concerning perceptions are quite close and lead to the same practical interpretation. The same is true for all other sociological factors assessed.</w:t>
      </w:r>
    </w:p>
    <w:p w:rsidR="00080AA1" w:rsidRPr="000D4DCD" w:rsidRDefault="00080AA1" w:rsidP="00080AA1">
      <w:pPr>
        <w:pStyle w:val="Corpsdetexte"/>
        <w:spacing w:line="360" w:lineRule="auto"/>
        <w:ind w:left="0" w:right="6"/>
        <w:rPr>
          <w:lang w:val="en-US"/>
        </w:rPr>
      </w:pPr>
      <w:r w:rsidRPr="000D4DCD">
        <w:rPr>
          <w:lang w:val="en-US"/>
        </w:rPr>
        <w:t>Concerning excuses (EEA variable), regardless of the factor considered (sex, age, seniority, type of organization, CSR awareness, CSR formalization), the average score is between 2.42 and 2.83. This means in practical terms that accountants are rather opposed to excuses. This result is confirmed by the score obtained by the variable relating to the role of accountants in environmental accounting (PRAE variable). The average score is always higher than 3 and is often close to 4. This shows a relative agreement concerning the role to play in environmental matters. However, we should note the particularly high score of respondents aged over 49 (score of 4.16).</w:t>
      </w:r>
    </w:p>
    <w:p w:rsidR="00080AA1" w:rsidRPr="000D4DCD" w:rsidRDefault="00080AA1" w:rsidP="00080AA1">
      <w:pPr>
        <w:pStyle w:val="Corpsdetexte"/>
        <w:spacing w:line="360" w:lineRule="auto"/>
        <w:ind w:left="0" w:right="6"/>
        <w:rPr>
          <w:lang w:val="en-US"/>
        </w:rPr>
      </w:pPr>
      <w:r w:rsidRPr="000D4DCD">
        <w:rPr>
          <w:lang w:val="en-US"/>
        </w:rPr>
        <w:t xml:space="preserve">Beyond that, we can also highlight the interest expressed by respondents from all categories for third-party control, since all the scores obtained by the PRTPC variable are quite close and between 4 and 5. The same goes for the scores obtained by the variable concerning the </w:t>
      </w:r>
      <w:r w:rsidRPr="000D4DCD">
        <w:rPr>
          <w:lang w:val="en-US"/>
        </w:rPr>
        <w:lastRenderedPageBreak/>
        <w:t>perception of regulation, which are distributed around 4 and express an overall positive perception of the standardization of environmental accounting.</w:t>
      </w:r>
    </w:p>
    <w:p w:rsidR="00080AA1" w:rsidRPr="000D4DCD" w:rsidRDefault="00080AA1" w:rsidP="00080AA1">
      <w:pPr>
        <w:pStyle w:val="Corpsdetexte"/>
        <w:spacing w:line="360" w:lineRule="auto"/>
        <w:ind w:left="0" w:right="4"/>
        <w:rPr>
          <w:lang w:val="en-US"/>
        </w:rPr>
      </w:pPr>
    </w:p>
    <w:p w:rsidR="00080AA1" w:rsidRPr="001B2E0D" w:rsidRDefault="00080AA1" w:rsidP="00080AA1">
      <w:pPr>
        <w:pStyle w:val="Paragraphedeliste"/>
        <w:widowControl w:val="0"/>
        <w:numPr>
          <w:ilvl w:val="1"/>
          <w:numId w:val="15"/>
        </w:numPr>
        <w:tabs>
          <w:tab w:val="left" w:pos="426"/>
          <w:tab w:val="left" w:pos="567"/>
        </w:tabs>
        <w:autoSpaceDE w:val="0"/>
        <w:autoSpaceDN w:val="0"/>
        <w:ind w:left="567" w:right="703" w:hanging="567"/>
        <w:contextualSpacing w:val="0"/>
        <w:jc w:val="left"/>
        <w:rPr>
          <w:sz w:val="24"/>
        </w:rPr>
      </w:pPr>
      <w:r w:rsidRPr="001B2E0D">
        <w:rPr>
          <w:b/>
          <w:sz w:val="24"/>
        </w:rPr>
        <w:t>Use of environmental accounting tools</w:t>
      </w:r>
    </w:p>
    <w:p w:rsidR="00080AA1" w:rsidRPr="000D4DCD" w:rsidRDefault="00080AA1" w:rsidP="00080AA1">
      <w:pPr>
        <w:pStyle w:val="Corpsdetexte"/>
        <w:spacing w:line="360" w:lineRule="auto"/>
        <w:ind w:left="0" w:right="4"/>
        <w:rPr>
          <w:szCs w:val="22"/>
          <w:lang w:val="en-US"/>
        </w:rPr>
      </w:pPr>
      <w:r w:rsidRPr="000D4DCD">
        <w:rPr>
          <w:szCs w:val="22"/>
          <w:lang w:val="en-US"/>
        </w:rPr>
        <w:t>The data collected show that the main environmental accounting tools highlighted by the literature remain largely unused by Tunisian accountants (Table 2).</w:t>
      </w:r>
    </w:p>
    <w:p w:rsidR="00080AA1" w:rsidRPr="000D4DCD" w:rsidRDefault="00080AA1" w:rsidP="00080AA1">
      <w:pPr>
        <w:pStyle w:val="Corpsdetexte"/>
        <w:spacing w:line="360" w:lineRule="auto"/>
        <w:ind w:left="0" w:right="4"/>
        <w:rPr>
          <w:lang w:val="en-US"/>
        </w:rPr>
        <w:sectPr w:rsidR="00080AA1" w:rsidRPr="000D4DCD" w:rsidSect="00900A1A">
          <w:headerReference w:type="default" r:id="rId11"/>
          <w:footerReference w:type="default" r:id="rId12"/>
          <w:pgSz w:w="11910" w:h="16840"/>
          <w:pgMar w:top="1417" w:right="1417" w:bottom="1417" w:left="1417" w:header="730" w:footer="1134" w:gutter="0"/>
          <w:cols w:space="720"/>
          <w:docGrid w:linePitch="299"/>
        </w:sectPr>
      </w:pPr>
      <w:r w:rsidRPr="000D4DCD">
        <w:rPr>
          <w:szCs w:val="22"/>
          <w:lang w:val="en-US"/>
        </w:rPr>
        <w:t>Thus, the rate of non-use of the tested tools fluctuates between 75% and 92% on our sample. Beyond the descriptive analysis of the scores, we tried to evaluate the influence of various sociological factors such as: gender, age, seniority, type of organization, awareness of social responsibility, formalization of social responsibility</w:t>
      </w:r>
      <w:r w:rsidRPr="000D4DCD">
        <w:rPr>
          <w:spacing w:val="-2"/>
          <w:lang w:val="en-US"/>
        </w:rPr>
        <w:t>.</w:t>
      </w:r>
    </w:p>
    <w:p w:rsidR="00080AA1" w:rsidRPr="000D4DCD" w:rsidRDefault="00080AA1" w:rsidP="00080AA1">
      <w:pPr>
        <w:pStyle w:val="Titre2"/>
        <w:ind w:left="135"/>
        <w:jc w:val="center"/>
        <w:rPr>
          <w:color w:val="000000" w:themeColor="text1"/>
          <w:lang w:val="en-US"/>
        </w:rPr>
      </w:pPr>
      <w:r w:rsidRPr="000D4DCD">
        <w:rPr>
          <w:color w:val="000000" w:themeColor="text1"/>
          <w:lang w:val="en-US"/>
        </w:rPr>
        <w:lastRenderedPageBreak/>
        <w:t>Table2:Use of environmental accounting tools</w:t>
      </w:r>
    </w:p>
    <w:p w:rsidR="00080AA1" w:rsidRPr="000D4DCD" w:rsidRDefault="00080AA1" w:rsidP="00080AA1">
      <w:pPr>
        <w:pStyle w:val="Corpsdetexte"/>
        <w:spacing w:before="68"/>
        <w:ind w:left="0"/>
        <w:jc w:val="left"/>
        <w:rPr>
          <w:b/>
          <w:sz w:val="20"/>
          <w:lang w:val="en-US"/>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31"/>
        <w:gridCol w:w="2835"/>
        <w:gridCol w:w="806"/>
        <w:gridCol w:w="914"/>
        <w:gridCol w:w="917"/>
        <w:gridCol w:w="917"/>
        <w:gridCol w:w="675"/>
        <w:gridCol w:w="704"/>
        <w:gridCol w:w="1173"/>
        <w:gridCol w:w="877"/>
        <w:gridCol w:w="1139"/>
        <w:gridCol w:w="868"/>
        <w:gridCol w:w="841"/>
      </w:tblGrid>
      <w:tr w:rsidR="00080AA1" w:rsidTr="0060584B">
        <w:trPr>
          <w:trHeight w:val="460"/>
        </w:trPr>
        <w:tc>
          <w:tcPr>
            <w:tcW w:w="4266" w:type="dxa"/>
            <w:gridSpan w:val="2"/>
          </w:tcPr>
          <w:p w:rsidR="00080AA1" w:rsidRDefault="00080AA1" w:rsidP="0060584B">
            <w:pPr>
              <w:pStyle w:val="TableParagraph"/>
              <w:spacing w:before="135" w:line="240" w:lineRule="auto"/>
              <w:ind w:left="69"/>
              <w:jc w:val="left"/>
              <w:rPr>
                <w:b/>
                <w:sz w:val="20"/>
              </w:rPr>
            </w:pPr>
            <w:r w:rsidRPr="00DD3060">
              <w:rPr>
                <w:b/>
                <w:spacing w:val="-2"/>
                <w:sz w:val="20"/>
              </w:rPr>
              <w:t>Criteria</w:t>
            </w:r>
          </w:p>
        </w:tc>
        <w:tc>
          <w:tcPr>
            <w:tcW w:w="806" w:type="dxa"/>
          </w:tcPr>
          <w:p w:rsidR="00080AA1" w:rsidRDefault="00080AA1" w:rsidP="0060584B">
            <w:pPr>
              <w:pStyle w:val="TableParagraph"/>
              <w:spacing w:before="135" w:line="240" w:lineRule="auto"/>
              <w:ind w:left="10" w:right="1"/>
              <w:rPr>
                <w:b/>
                <w:sz w:val="20"/>
              </w:rPr>
            </w:pPr>
            <w:r>
              <w:rPr>
                <w:b/>
                <w:spacing w:val="-4"/>
                <w:sz w:val="20"/>
              </w:rPr>
              <w:t>EMAS</w:t>
            </w:r>
          </w:p>
        </w:tc>
        <w:tc>
          <w:tcPr>
            <w:tcW w:w="914" w:type="dxa"/>
          </w:tcPr>
          <w:p w:rsidR="00080AA1" w:rsidRDefault="00080AA1" w:rsidP="0060584B">
            <w:pPr>
              <w:pStyle w:val="TableParagraph"/>
              <w:spacing w:line="230" w:lineRule="atLeast"/>
              <w:ind w:left="206" w:right="188" w:firstLine="79"/>
              <w:rPr>
                <w:b/>
                <w:sz w:val="20"/>
              </w:rPr>
            </w:pPr>
            <w:r>
              <w:rPr>
                <w:b/>
                <w:spacing w:val="-4"/>
                <w:sz w:val="20"/>
              </w:rPr>
              <w:t xml:space="preserve">ISO </w:t>
            </w:r>
            <w:r>
              <w:rPr>
                <w:b/>
                <w:spacing w:val="-2"/>
                <w:sz w:val="20"/>
              </w:rPr>
              <w:t>14001</w:t>
            </w:r>
          </w:p>
        </w:tc>
        <w:tc>
          <w:tcPr>
            <w:tcW w:w="917" w:type="dxa"/>
          </w:tcPr>
          <w:p w:rsidR="00080AA1" w:rsidRDefault="00080AA1" w:rsidP="0060584B">
            <w:pPr>
              <w:pStyle w:val="TableParagraph"/>
              <w:spacing w:line="230" w:lineRule="atLeast"/>
              <w:ind w:left="209" w:right="196" w:firstLine="79"/>
              <w:rPr>
                <w:b/>
                <w:sz w:val="20"/>
              </w:rPr>
            </w:pPr>
            <w:r>
              <w:rPr>
                <w:b/>
                <w:spacing w:val="-4"/>
                <w:sz w:val="20"/>
              </w:rPr>
              <w:t xml:space="preserve">ISO </w:t>
            </w:r>
            <w:r>
              <w:rPr>
                <w:b/>
                <w:spacing w:val="-2"/>
                <w:sz w:val="20"/>
              </w:rPr>
              <w:t>14006</w:t>
            </w:r>
          </w:p>
        </w:tc>
        <w:tc>
          <w:tcPr>
            <w:tcW w:w="917" w:type="dxa"/>
          </w:tcPr>
          <w:p w:rsidR="00080AA1" w:rsidRDefault="00080AA1" w:rsidP="0060584B">
            <w:pPr>
              <w:pStyle w:val="TableParagraph"/>
              <w:spacing w:line="230" w:lineRule="atLeast"/>
              <w:ind w:left="206" w:right="191" w:firstLine="79"/>
              <w:rPr>
                <w:b/>
                <w:sz w:val="20"/>
              </w:rPr>
            </w:pPr>
            <w:r>
              <w:rPr>
                <w:b/>
                <w:spacing w:val="-4"/>
                <w:sz w:val="20"/>
              </w:rPr>
              <w:t xml:space="preserve">ISO </w:t>
            </w:r>
            <w:r>
              <w:rPr>
                <w:b/>
                <w:spacing w:val="-2"/>
                <w:sz w:val="20"/>
              </w:rPr>
              <w:t>14040</w:t>
            </w:r>
          </w:p>
        </w:tc>
        <w:tc>
          <w:tcPr>
            <w:tcW w:w="675" w:type="dxa"/>
          </w:tcPr>
          <w:p w:rsidR="00080AA1" w:rsidRDefault="00080AA1" w:rsidP="0060584B">
            <w:pPr>
              <w:pStyle w:val="TableParagraph"/>
              <w:spacing w:before="20" w:line="240" w:lineRule="auto"/>
              <w:ind w:left="204"/>
              <w:rPr>
                <w:b/>
                <w:sz w:val="20"/>
              </w:rPr>
            </w:pPr>
            <w:r>
              <w:rPr>
                <w:b/>
                <w:spacing w:val="-5"/>
                <w:sz w:val="20"/>
              </w:rPr>
              <w:t>Env TB</w:t>
            </w:r>
          </w:p>
        </w:tc>
        <w:tc>
          <w:tcPr>
            <w:tcW w:w="704" w:type="dxa"/>
          </w:tcPr>
          <w:p w:rsidR="00080AA1" w:rsidRDefault="00080AA1" w:rsidP="0060584B">
            <w:pPr>
              <w:pStyle w:val="TableParagraph"/>
              <w:spacing w:line="230" w:lineRule="atLeast"/>
              <w:ind w:left="202" w:right="183" w:hanging="37"/>
              <w:rPr>
                <w:b/>
                <w:sz w:val="20"/>
              </w:rPr>
            </w:pPr>
            <w:r>
              <w:rPr>
                <w:b/>
                <w:spacing w:val="-4"/>
                <w:sz w:val="20"/>
              </w:rPr>
              <w:t>Env Ind</w:t>
            </w:r>
          </w:p>
        </w:tc>
        <w:tc>
          <w:tcPr>
            <w:tcW w:w="1173" w:type="dxa"/>
          </w:tcPr>
          <w:p w:rsidR="00080AA1" w:rsidRDefault="00080AA1" w:rsidP="0060584B">
            <w:pPr>
              <w:pStyle w:val="TableParagraph"/>
              <w:spacing w:line="230" w:lineRule="atLeast"/>
              <w:ind w:left="27" w:right="130"/>
              <w:rPr>
                <w:b/>
                <w:sz w:val="20"/>
              </w:rPr>
            </w:pPr>
            <w:r>
              <w:rPr>
                <w:b/>
                <w:sz w:val="20"/>
              </w:rPr>
              <w:t>Eval.</w:t>
            </w:r>
            <w:r>
              <w:rPr>
                <w:b/>
                <w:spacing w:val="-13"/>
                <w:sz w:val="20"/>
              </w:rPr>
              <w:t>E</w:t>
            </w:r>
            <w:r w:rsidRPr="00DD3060">
              <w:rPr>
                <w:b/>
                <w:sz w:val="20"/>
              </w:rPr>
              <w:t>xter</w:t>
            </w:r>
            <w:r>
              <w:rPr>
                <w:b/>
                <w:sz w:val="20"/>
              </w:rPr>
              <w:t xml:space="preserve">. </w:t>
            </w:r>
            <w:r w:rsidRPr="00DD3060">
              <w:rPr>
                <w:b/>
                <w:sz w:val="20"/>
              </w:rPr>
              <w:t>costs</w:t>
            </w:r>
          </w:p>
        </w:tc>
        <w:tc>
          <w:tcPr>
            <w:tcW w:w="877" w:type="dxa"/>
          </w:tcPr>
          <w:p w:rsidR="00080AA1" w:rsidRDefault="00080AA1" w:rsidP="0060584B">
            <w:pPr>
              <w:pStyle w:val="TableParagraph"/>
              <w:spacing w:line="230" w:lineRule="atLeast"/>
              <w:ind w:left="133" w:right="170" w:firstLine="53"/>
              <w:rPr>
                <w:b/>
                <w:sz w:val="20"/>
              </w:rPr>
            </w:pPr>
            <w:r>
              <w:rPr>
                <w:b/>
                <w:spacing w:val="-4"/>
                <w:sz w:val="20"/>
              </w:rPr>
              <w:t>Env</w:t>
            </w:r>
            <w:r>
              <w:rPr>
                <w:b/>
                <w:spacing w:val="-2"/>
                <w:sz w:val="20"/>
              </w:rPr>
              <w:t xml:space="preserve"> costs</w:t>
            </w:r>
          </w:p>
        </w:tc>
        <w:tc>
          <w:tcPr>
            <w:tcW w:w="1139" w:type="dxa"/>
          </w:tcPr>
          <w:p w:rsidR="00080AA1" w:rsidRDefault="00080AA1" w:rsidP="0060584B">
            <w:pPr>
              <w:pStyle w:val="TableParagraph"/>
              <w:spacing w:line="230" w:lineRule="atLeast"/>
              <w:ind w:left="175" w:right="171" w:hanging="63"/>
              <w:rPr>
                <w:b/>
                <w:sz w:val="20"/>
              </w:rPr>
            </w:pPr>
            <w:r w:rsidRPr="00DD3060">
              <w:rPr>
                <w:b/>
                <w:spacing w:val="-2"/>
                <w:sz w:val="20"/>
              </w:rPr>
              <w:t>Physical Acc</w:t>
            </w:r>
          </w:p>
        </w:tc>
        <w:tc>
          <w:tcPr>
            <w:tcW w:w="868" w:type="dxa"/>
          </w:tcPr>
          <w:p w:rsidR="00080AA1" w:rsidRDefault="00080AA1" w:rsidP="0060584B">
            <w:pPr>
              <w:pStyle w:val="TableParagraph"/>
              <w:spacing w:line="230" w:lineRule="atLeast"/>
              <w:ind w:left="106" w:right="182"/>
              <w:rPr>
                <w:b/>
                <w:sz w:val="20"/>
              </w:rPr>
            </w:pPr>
            <w:r>
              <w:rPr>
                <w:b/>
                <w:spacing w:val="-4"/>
                <w:sz w:val="20"/>
              </w:rPr>
              <w:t>Env audit</w:t>
            </w:r>
          </w:p>
        </w:tc>
        <w:tc>
          <w:tcPr>
            <w:tcW w:w="841" w:type="dxa"/>
          </w:tcPr>
          <w:p w:rsidR="00080AA1" w:rsidRDefault="00080AA1" w:rsidP="0060584B">
            <w:pPr>
              <w:pStyle w:val="TableParagraph"/>
              <w:spacing w:line="230" w:lineRule="atLeast"/>
              <w:ind w:left="87" w:right="178"/>
              <w:rPr>
                <w:b/>
                <w:sz w:val="20"/>
              </w:rPr>
            </w:pPr>
            <w:r>
              <w:rPr>
                <w:b/>
                <w:spacing w:val="-2"/>
                <w:sz w:val="20"/>
              </w:rPr>
              <w:t xml:space="preserve">Env </w:t>
            </w:r>
            <w:r w:rsidRPr="00DD3060">
              <w:rPr>
                <w:b/>
                <w:spacing w:val="-2"/>
                <w:sz w:val="20"/>
              </w:rPr>
              <w:t>asse</w:t>
            </w:r>
            <w:r>
              <w:rPr>
                <w:b/>
                <w:spacing w:val="-2"/>
                <w:sz w:val="20"/>
              </w:rPr>
              <w:t>.</w:t>
            </w:r>
          </w:p>
        </w:tc>
      </w:tr>
      <w:tr w:rsidR="00080AA1" w:rsidTr="0060584B">
        <w:trPr>
          <w:trHeight w:val="299"/>
        </w:trPr>
        <w:tc>
          <w:tcPr>
            <w:tcW w:w="1431" w:type="dxa"/>
            <w:vMerge w:val="restart"/>
          </w:tcPr>
          <w:p w:rsidR="00080AA1" w:rsidRDefault="00080AA1" w:rsidP="0060584B">
            <w:pPr>
              <w:pStyle w:val="TableParagraph"/>
              <w:spacing w:before="210" w:line="240" w:lineRule="auto"/>
              <w:jc w:val="left"/>
              <w:rPr>
                <w:b/>
                <w:sz w:val="20"/>
              </w:rPr>
            </w:pPr>
            <w:r>
              <w:rPr>
                <w:b/>
                <w:spacing w:val="-4"/>
                <w:sz w:val="20"/>
              </w:rPr>
              <w:t>Sex</w:t>
            </w:r>
          </w:p>
        </w:tc>
        <w:tc>
          <w:tcPr>
            <w:tcW w:w="2835" w:type="dxa"/>
          </w:tcPr>
          <w:p w:rsidR="00080AA1" w:rsidRDefault="00080AA1" w:rsidP="0060584B">
            <w:pPr>
              <w:pStyle w:val="TableParagraph"/>
              <w:spacing w:before="54"/>
              <w:ind w:left="69"/>
              <w:jc w:val="left"/>
              <w:rPr>
                <w:sz w:val="20"/>
              </w:rPr>
            </w:pPr>
            <w:r>
              <w:rPr>
                <w:sz w:val="20"/>
              </w:rPr>
              <w:t>Man</w:t>
            </w:r>
          </w:p>
        </w:tc>
        <w:tc>
          <w:tcPr>
            <w:tcW w:w="806" w:type="dxa"/>
          </w:tcPr>
          <w:p w:rsidR="00080AA1" w:rsidRDefault="00080AA1" w:rsidP="0060584B">
            <w:pPr>
              <w:pStyle w:val="TableParagraph"/>
              <w:spacing w:before="54"/>
              <w:ind w:left="10"/>
              <w:rPr>
                <w:sz w:val="20"/>
              </w:rPr>
            </w:pPr>
            <w:r>
              <w:rPr>
                <w:spacing w:val="-4"/>
                <w:sz w:val="20"/>
              </w:rPr>
              <w:t>1,81</w:t>
            </w:r>
          </w:p>
        </w:tc>
        <w:tc>
          <w:tcPr>
            <w:tcW w:w="914" w:type="dxa"/>
          </w:tcPr>
          <w:p w:rsidR="00080AA1" w:rsidRDefault="00080AA1" w:rsidP="0060584B">
            <w:pPr>
              <w:pStyle w:val="TableParagraph"/>
              <w:spacing w:before="54"/>
              <w:ind w:left="8"/>
              <w:rPr>
                <w:sz w:val="20"/>
              </w:rPr>
            </w:pPr>
            <w:r>
              <w:rPr>
                <w:spacing w:val="-4"/>
                <w:sz w:val="20"/>
              </w:rPr>
              <w:t>1,67</w:t>
            </w:r>
          </w:p>
        </w:tc>
        <w:tc>
          <w:tcPr>
            <w:tcW w:w="917" w:type="dxa"/>
          </w:tcPr>
          <w:p w:rsidR="00080AA1" w:rsidRDefault="00080AA1" w:rsidP="0060584B">
            <w:pPr>
              <w:pStyle w:val="TableParagraph"/>
              <w:spacing w:before="54"/>
              <w:ind w:left="11"/>
              <w:rPr>
                <w:sz w:val="20"/>
              </w:rPr>
            </w:pPr>
            <w:r>
              <w:rPr>
                <w:spacing w:val="-4"/>
                <w:sz w:val="20"/>
              </w:rPr>
              <w:t>1,48</w:t>
            </w:r>
          </w:p>
        </w:tc>
        <w:tc>
          <w:tcPr>
            <w:tcW w:w="917" w:type="dxa"/>
          </w:tcPr>
          <w:p w:rsidR="00080AA1" w:rsidRDefault="00080AA1" w:rsidP="0060584B">
            <w:pPr>
              <w:pStyle w:val="TableParagraph"/>
              <w:spacing w:before="54"/>
              <w:ind w:left="11" w:right="5"/>
              <w:rPr>
                <w:sz w:val="20"/>
              </w:rPr>
            </w:pPr>
            <w:r>
              <w:rPr>
                <w:spacing w:val="-4"/>
                <w:sz w:val="20"/>
              </w:rPr>
              <w:t>1,54</w:t>
            </w:r>
          </w:p>
        </w:tc>
        <w:tc>
          <w:tcPr>
            <w:tcW w:w="675" w:type="dxa"/>
          </w:tcPr>
          <w:p w:rsidR="00080AA1" w:rsidRDefault="00080AA1" w:rsidP="0060584B">
            <w:pPr>
              <w:pStyle w:val="TableParagraph"/>
              <w:spacing w:before="54"/>
              <w:ind w:left="8"/>
              <w:rPr>
                <w:sz w:val="20"/>
              </w:rPr>
            </w:pPr>
            <w:r>
              <w:rPr>
                <w:spacing w:val="-4"/>
                <w:sz w:val="20"/>
              </w:rPr>
              <w:t>1,64</w:t>
            </w:r>
          </w:p>
        </w:tc>
        <w:tc>
          <w:tcPr>
            <w:tcW w:w="704" w:type="dxa"/>
          </w:tcPr>
          <w:p w:rsidR="00080AA1" w:rsidRDefault="00080AA1" w:rsidP="0060584B">
            <w:pPr>
              <w:pStyle w:val="TableParagraph"/>
              <w:spacing w:before="54"/>
              <w:ind w:left="10"/>
              <w:rPr>
                <w:sz w:val="20"/>
              </w:rPr>
            </w:pPr>
            <w:r>
              <w:rPr>
                <w:spacing w:val="-4"/>
                <w:sz w:val="20"/>
              </w:rPr>
              <w:t>1,74</w:t>
            </w:r>
          </w:p>
        </w:tc>
        <w:tc>
          <w:tcPr>
            <w:tcW w:w="1173" w:type="dxa"/>
          </w:tcPr>
          <w:p w:rsidR="00080AA1" w:rsidRDefault="00080AA1" w:rsidP="0060584B">
            <w:pPr>
              <w:pStyle w:val="TableParagraph"/>
              <w:spacing w:before="54"/>
              <w:ind w:left="6"/>
              <w:rPr>
                <w:sz w:val="20"/>
              </w:rPr>
            </w:pPr>
            <w:r>
              <w:rPr>
                <w:spacing w:val="-4"/>
                <w:sz w:val="20"/>
              </w:rPr>
              <w:t>1,73</w:t>
            </w:r>
          </w:p>
        </w:tc>
        <w:tc>
          <w:tcPr>
            <w:tcW w:w="877" w:type="dxa"/>
          </w:tcPr>
          <w:p w:rsidR="00080AA1" w:rsidRDefault="00080AA1" w:rsidP="0060584B">
            <w:pPr>
              <w:pStyle w:val="TableParagraph"/>
              <w:spacing w:before="54"/>
              <w:ind w:left="5"/>
              <w:rPr>
                <w:sz w:val="20"/>
              </w:rPr>
            </w:pPr>
            <w:r>
              <w:rPr>
                <w:spacing w:val="-4"/>
                <w:sz w:val="20"/>
              </w:rPr>
              <w:t>1,71</w:t>
            </w:r>
          </w:p>
        </w:tc>
        <w:tc>
          <w:tcPr>
            <w:tcW w:w="1139" w:type="dxa"/>
          </w:tcPr>
          <w:p w:rsidR="00080AA1" w:rsidRDefault="00080AA1" w:rsidP="0060584B">
            <w:pPr>
              <w:pStyle w:val="TableParagraph"/>
              <w:spacing w:before="54"/>
              <w:ind w:left="1"/>
              <w:rPr>
                <w:sz w:val="20"/>
              </w:rPr>
            </w:pPr>
            <w:r>
              <w:rPr>
                <w:spacing w:val="-4"/>
                <w:sz w:val="20"/>
              </w:rPr>
              <w:t>2,02</w:t>
            </w:r>
          </w:p>
        </w:tc>
        <w:tc>
          <w:tcPr>
            <w:tcW w:w="868" w:type="dxa"/>
          </w:tcPr>
          <w:p w:rsidR="00080AA1" w:rsidRDefault="00080AA1" w:rsidP="0060584B">
            <w:pPr>
              <w:pStyle w:val="TableParagraph"/>
              <w:spacing w:before="54"/>
              <w:ind w:left="1"/>
              <w:rPr>
                <w:sz w:val="20"/>
              </w:rPr>
            </w:pPr>
            <w:r>
              <w:rPr>
                <w:spacing w:val="-4"/>
                <w:sz w:val="20"/>
              </w:rPr>
              <w:t>1,61</w:t>
            </w:r>
          </w:p>
        </w:tc>
        <w:tc>
          <w:tcPr>
            <w:tcW w:w="841" w:type="dxa"/>
          </w:tcPr>
          <w:p w:rsidR="00080AA1" w:rsidRDefault="00080AA1" w:rsidP="0060584B">
            <w:pPr>
              <w:pStyle w:val="TableParagraph"/>
              <w:spacing w:before="54"/>
              <w:ind w:right="1"/>
              <w:rPr>
                <w:sz w:val="20"/>
              </w:rPr>
            </w:pPr>
            <w:r>
              <w:rPr>
                <w:spacing w:val="-4"/>
                <w:sz w:val="20"/>
              </w:rPr>
              <w:t>1,68</w:t>
            </w:r>
          </w:p>
        </w:tc>
      </w:tr>
      <w:tr w:rsidR="00080AA1" w:rsidTr="0060584B">
        <w:trPr>
          <w:trHeight w:val="300"/>
        </w:trPr>
        <w:tc>
          <w:tcPr>
            <w:tcW w:w="1431" w:type="dxa"/>
            <w:vMerge/>
            <w:tcBorders>
              <w:top w:val="nil"/>
            </w:tcBorders>
          </w:tcPr>
          <w:p w:rsidR="00080AA1" w:rsidRDefault="00080AA1" w:rsidP="0060584B">
            <w:pPr>
              <w:rPr>
                <w:sz w:val="2"/>
                <w:szCs w:val="2"/>
              </w:rPr>
            </w:pPr>
          </w:p>
        </w:tc>
        <w:tc>
          <w:tcPr>
            <w:tcW w:w="2835" w:type="dxa"/>
          </w:tcPr>
          <w:p w:rsidR="00080AA1" w:rsidRDefault="00080AA1" w:rsidP="0060584B">
            <w:pPr>
              <w:pStyle w:val="TableParagraph"/>
              <w:spacing w:before="54"/>
              <w:ind w:left="69"/>
              <w:jc w:val="left"/>
              <w:rPr>
                <w:sz w:val="20"/>
              </w:rPr>
            </w:pPr>
            <w:r>
              <w:rPr>
                <w:sz w:val="20"/>
              </w:rPr>
              <w:t>Women</w:t>
            </w:r>
          </w:p>
        </w:tc>
        <w:tc>
          <w:tcPr>
            <w:tcW w:w="806" w:type="dxa"/>
          </w:tcPr>
          <w:p w:rsidR="00080AA1" w:rsidRDefault="00080AA1" w:rsidP="0060584B">
            <w:pPr>
              <w:pStyle w:val="TableParagraph"/>
              <w:spacing w:before="54"/>
              <w:ind w:left="10"/>
              <w:rPr>
                <w:sz w:val="20"/>
              </w:rPr>
            </w:pPr>
            <w:r>
              <w:rPr>
                <w:spacing w:val="-4"/>
                <w:sz w:val="20"/>
              </w:rPr>
              <w:t>1,67</w:t>
            </w:r>
          </w:p>
        </w:tc>
        <w:tc>
          <w:tcPr>
            <w:tcW w:w="914" w:type="dxa"/>
          </w:tcPr>
          <w:p w:rsidR="00080AA1" w:rsidRDefault="00080AA1" w:rsidP="0060584B">
            <w:pPr>
              <w:pStyle w:val="TableParagraph"/>
              <w:spacing w:before="54"/>
              <w:ind w:left="8"/>
              <w:rPr>
                <w:sz w:val="20"/>
              </w:rPr>
            </w:pPr>
            <w:r>
              <w:rPr>
                <w:spacing w:val="-4"/>
                <w:sz w:val="20"/>
              </w:rPr>
              <w:t>1,67</w:t>
            </w:r>
          </w:p>
        </w:tc>
        <w:tc>
          <w:tcPr>
            <w:tcW w:w="917" w:type="dxa"/>
          </w:tcPr>
          <w:p w:rsidR="00080AA1" w:rsidRDefault="00080AA1" w:rsidP="0060584B">
            <w:pPr>
              <w:pStyle w:val="TableParagraph"/>
              <w:spacing w:before="54"/>
              <w:ind w:left="11"/>
              <w:rPr>
                <w:sz w:val="20"/>
              </w:rPr>
            </w:pPr>
            <w:r>
              <w:rPr>
                <w:spacing w:val="-4"/>
                <w:sz w:val="20"/>
              </w:rPr>
              <w:t>1,45</w:t>
            </w:r>
          </w:p>
        </w:tc>
        <w:tc>
          <w:tcPr>
            <w:tcW w:w="917" w:type="dxa"/>
          </w:tcPr>
          <w:p w:rsidR="00080AA1" w:rsidRDefault="00080AA1" w:rsidP="0060584B">
            <w:pPr>
              <w:pStyle w:val="TableParagraph"/>
              <w:spacing w:before="54"/>
              <w:ind w:left="11" w:right="5"/>
              <w:rPr>
                <w:sz w:val="20"/>
              </w:rPr>
            </w:pPr>
            <w:r>
              <w:rPr>
                <w:spacing w:val="-4"/>
                <w:sz w:val="20"/>
              </w:rPr>
              <w:t>1,40</w:t>
            </w:r>
          </w:p>
        </w:tc>
        <w:tc>
          <w:tcPr>
            <w:tcW w:w="675" w:type="dxa"/>
          </w:tcPr>
          <w:p w:rsidR="00080AA1" w:rsidRDefault="00080AA1" w:rsidP="0060584B">
            <w:pPr>
              <w:pStyle w:val="TableParagraph"/>
              <w:spacing w:before="54"/>
              <w:ind w:left="8"/>
              <w:rPr>
                <w:sz w:val="20"/>
              </w:rPr>
            </w:pPr>
            <w:r>
              <w:rPr>
                <w:spacing w:val="-4"/>
                <w:sz w:val="20"/>
              </w:rPr>
              <w:t>1,45</w:t>
            </w:r>
          </w:p>
        </w:tc>
        <w:tc>
          <w:tcPr>
            <w:tcW w:w="704" w:type="dxa"/>
          </w:tcPr>
          <w:p w:rsidR="00080AA1" w:rsidRDefault="00080AA1" w:rsidP="0060584B">
            <w:pPr>
              <w:pStyle w:val="TableParagraph"/>
              <w:spacing w:before="54"/>
              <w:ind w:left="10"/>
              <w:rPr>
                <w:sz w:val="20"/>
              </w:rPr>
            </w:pPr>
            <w:r>
              <w:rPr>
                <w:spacing w:val="-4"/>
                <w:sz w:val="20"/>
              </w:rPr>
              <w:t>1,56</w:t>
            </w:r>
          </w:p>
        </w:tc>
        <w:tc>
          <w:tcPr>
            <w:tcW w:w="1173" w:type="dxa"/>
          </w:tcPr>
          <w:p w:rsidR="00080AA1" w:rsidRDefault="00080AA1" w:rsidP="0060584B">
            <w:pPr>
              <w:pStyle w:val="TableParagraph"/>
              <w:spacing w:before="54"/>
              <w:ind w:left="6"/>
              <w:rPr>
                <w:sz w:val="20"/>
              </w:rPr>
            </w:pPr>
            <w:r>
              <w:rPr>
                <w:spacing w:val="-4"/>
                <w:sz w:val="20"/>
              </w:rPr>
              <w:t>1,83</w:t>
            </w:r>
          </w:p>
        </w:tc>
        <w:tc>
          <w:tcPr>
            <w:tcW w:w="877" w:type="dxa"/>
          </w:tcPr>
          <w:p w:rsidR="00080AA1" w:rsidRDefault="00080AA1" w:rsidP="0060584B">
            <w:pPr>
              <w:pStyle w:val="TableParagraph"/>
              <w:spacing w:before="54"/>
              <w:ind w:left="5"/>
              <w:rPr>
                <w:sz w:val="20"/>
              </w:rPr>
            </w:pPr>
            <w:r>
              <w:rPr>
                <w:spacing w:val="-4"/>
                <w:sz w:val="20"/>
              </w:rPr>
              <w:t>1,62</w:t>
            </w:r>
          </w:p>
        </w:tc>
        <w:tc>
          <w:tcPr>
            <w:tcW w:w="1139" w:type="dxa"/>
          </w:tcPr>
          <w:p w:rsidR="00080AA1" w:rsidRDefault="00080AA1" w:rsidP="0060584B">
            <w:pPr>
              <w:pStyle w:val="TableParagraph"/>
              <w:spacing w:before="54"/>
              <w:ind w:left="1"/>
              <w:rPr>
                <w:sz w:val="20"/>
              </w:rPr>
            </w:pPr>
            <w:r>
              <w:rPr>
                <w:spacing w:val="-4"/>
                <w:sz w:val="20"/>
              </w:rPr>
              <w:t>2,01</w:t>
            </w:r>
          </w:p>
        </w:tc>
        <w:tc>
          <w:tcPr>
            <w:tcW w:w="868" w:type="dxa"/>
          </w:tcPr>
          <w:p w:rsidR="00080AA1" w:rsidRDefault="00080AA1" w:rsidP="0060584B">
            <w:pPr>
              <w:pStyle w:val="TableParagraph"/>
              <w:spacing w:before="54"/>
              <w:ind w:left="1"/>
              <w:rPr>
                <w:sz w:val="20"/>
              </w:rPr>
            </w:pPr>
            <w:r>
              <w:rPr>
                <w:spacing w:val="-4"/>
                <w:sz w:val="20"/>
              </w:rPr>
              <w:t>1,41</w:t>
            </w:r>
          </w:p>
        </w:tc>
        <w:tc>
          <w:tcPr>
            <w:tcW w:w="841" w:type="dxa"/>
          </w:tcPr>
          <w:p w:rsidR="00080AA1" w:rsidRDefault="00080AA1" w:rsidP="0060584B">
            <w:pPr>
              <w:pStyle w:val="TableParagraph"/>
              <w:spacing w:before="54"/>
              <w:ind w:right="1"/>
              <w:rPr>
                <w:sz w:val="20"/>
              </w:rPr>
            </w:pPr>
            <w:r>
              <w:rPr>
                <w:spacing w:val="-4"/>
                <w:sz w:val="20"/>
              </w:rPr>
              <w:t>1,50</w:t>
            </w:r>
          </w:p>
        </w:tc>
      </w:tr>
      <w:tr w:rsidR="00080AA1" w:rsidTr="0060584B">
        <w:trPr>
          <w:trHeight w:val="299"/>
        </w:trPr>
        <w:tc>
          <w:tcPr>
            <w:tcW w:w="1431" w:type="dxa"/>
            <w:vMerge w:val="restart"/>
            <w:vAlign w:val="center"/>
          </w:tcPr>
          <w:p w:rsidR="00080AA1" w:rsidRDefault="00080AA1" w:rsidP="0060584B">
            <w:pPr>
              <w:pStyle w:val="TableParagraph"/>
              <w:spacing w:line="240" w:lineRule="auto"/>
              <w:jc w:val="left"/>
              <w:rPr>
                <w:b/>
                <w:sz w:val="20"/>
              </w:rPr>
            </w:pPr>
            <w:r>
              <w:rPr>
                <w:b/>
                <w:spacing w:val="-5"/>
                <w:sz w:val="20"/>
              </w:rPr>
              <w:t>Age</w:t>
            </w:r>
          </w:p>
        </w:tc>
        <w:tc>
          <w:tcPr>
            <w:tcW w:w="2835" w:type="dxa"/>
          </w:tcPr>
          <w:p w:rsidR="00080AA1" w:rsidRDefault="00080AA1" w:rsidP="0060584B">
            <w:pPr>
              <w:pStyle w:val="TableParagraph"/>
              <w:spacing w:before="56" w:line="223" w:lineRule="exact"/>
              <w:ind w:left="69"/>
              <w:jc w:val="left"/>
              <w:rPr>
                <w:sz w:val="20"/>
              </w:rPr>
            </w:pPr>
            <w:r>
              <w:rPr>
                <w:spacing w:val="-2"/>
                <w:sz w:val="20"/>
              </w:rPr>
              <w:t>-</w:t>
            </w:r>
            <w:r>
              <w:rPr>
                <w:spacing w:val="-7"/>
                <w:sz w:val="20"/>
              </w:rPr>
              <w:t>30</w:t>
            </w:r>
          </w:p>
        </w:tc>
        <w:tc>
          <w:tcPr>
            <w:tcW w:w="806" w:type="dxa"/>
          </w:tcPr>
          <w:p w:rsidR="00080AA1" w:rsidRDefault="00080AA1" w:rsidP="0060584B">
            <w:pPr>
              <w:pStyle w:val="TableParagraph"/>
              <w:spacing w:before="56" w:line="223" w:lineRule="exact"/>
              <w:ind w:left="10"/>
              <w:rPr>
                <w:sz w:val="20"/>
              </w:rPr>
            </w:pPr>
            <w:r>
              <w:rPr>
                <w:spacing w:val="-4"/>
                <w:sz w:val="20"/>
              </w:rPr>
              <w:t>2,11</w:t>
            </w:r>
          </w:p>
        </w:tc>
        <w:tc>
          <w:tcPr>
            <w:tcW w:w="914" w:type="dxa"/>
          </w:tcPr>
          <w:p w:rsidR="00080AA1" w:rsidRDefault="00080AA1" w:rsidP="0060584B">
            <w:pPr>
              <w:pStyle w:val="TableParagraph"/>
              <w:spacing w:before="56" w:line="223" w:lineRule="exact"/>
              <w:ind w:left="8"/>
              <w:rPr>
                <w:sz w:val="20"/>
              </w:rPr>
            </w:pPr>
            <w:r>
              <w:rPr>
                <w:spacing w:val="-4"/>
                <w:sz w:val="20"/>
              </w:rPr>
              <w:t>2,17</w:t>
            </w:r>
          </w:p>
        </w:tc>
        <w:tc>
          <w:tcPr>
            <w:tcW w:w="917" w:type="dxa"/>
          </w:tcPr>
          <w:p w:rsidR="00080AA1" w:rsidRDefault="00080AA1" w:rsidP="0060584B">
            <w:pPr>
              <w:pStyle w:val="TableParagraph"/>
              <w:spacing w:before="56" w:line="223" w:lineRule="exact"/>
              <w:ind w:left="11"/>
              <w:rPr>
                <w:sz w:val="20"/>
              </w:rPr>
            </w:pPr>
            <w:r>
              <w:rPr>
                <w:spacing w:val="-4"/>
                <w:sz w:val="20"/>
              </w:rPr>
              <w:t>2,02</w:t>
            </w:r>
          </w:p>
        </w:tc>
        <w:tc>
          <w:tcPr>
            <w:tcW w:w="917" w:type="dxa"/>
          </w:tcPr>
          <w:p w:rsidR="00080AA1" w:rsidRDefault="00080AA1" w:rsidP="0060584B">
            <w:pPr>
              <w:pStyle w:val="TableParagraph"/>
              <w:spacing w:before="56" w:line="223" w:lineRule="exact"/>
              <w:ind w:left="11" w:right="5"/>
              <w:rPr>
                <w:sz w:val="20"/>
              </w:rPr>
            </w:pPr>
            <w:r>
              <w:rPr>
                <w:spacing w:val="-4"/>
                <w:sz w:val="20"/>
              </w:rPr>
              <w:t>2,01</w:t>
            </w:r>
          </w:p>
        </w:tc>
        <w:tc>
          <w:tcPr>
            <w:tcW w:w="675" w:type="dxa"/>
          </w:tcPr>
          <w:p w:rsidR="00080AA1" w:rsidRDefault="00080AA1" w:rsidP="0060584B">
            <w:pPr>
              <w:pStyle w:val="TableParagraph"/>
              <w:spacing w:before="56" w:line="223" w:lineRule="exact"/>
              <w:ind w:left="8"/>
              <w:rPr>
                <w:sz w:val="20"/>
              </w:rPr>
            </w:pPr>
            <w:r>
              <w:rPr>
                <w:spacing w:val="-4"/>
                <w:sz w:val="20"/>
              </w:rPr>
              <w:t>2,03</w:t>
            </w:r>
          </w:p>
        </w:tc>
        <w:tc>
          <w:tcPr>
            <w:tcW w:w="704" w:type="dxa"/>
          </w:tcPr>
          <w:p w:rsidR="00080AA1" w:rsidRDefault="00080AA1" w:rsidP="0060584B">
            <w:pPr>
              <w:pStyle w:val="TableParagraph"/>
              <w:spacing w:before="56" w:line="223" w:lineRule="exact"/>
              <w:ind w:left="10"/>
              <w:rPr>
                <w:sz w:val="20"/>
              </w:rPr>
            </w:pPr>
            <w:r>
              <w:rPr>
                <w:spacing w:val="-4"/>
                <w:sz w:val="20"/>
              </w:rPr>
              <w:t>2,28</w:t>
            </w:r>
          </w:p>
        </w:tc>
        <w:tc>
          <w:tcPr>
            <w:tcW w:w="1173" w:type="dxa"/>
          </w:tcPr>
          <w:p w:rsidR="00080AA1" w:rsidRDefault="00080AA1" w:rsidP="0060584B">
            <w:pPr>
              <w:pStyle w:val="TableParagraph"/>
              <w:spacing w:before="56" w:line="223" w:lineRule="exact"/>
              <w:ind w:left="6"/>
              <w:rPr>
                <w:sz w:val="20"/>
              </w:rPr>
            </w:pPr>
            <w:r>
              <w:rPr>
                <w:spacing w:val="-4"/>
                <w:sz w:val="20"/>
              </w:rPr>
              <w:t>2,51</w:t>
            </w:r>
          </w:p>
        </w:tc>
        <w:tc>
          <w:tcPr>
            <w:tcW w:w="877" w:type="dxa"/>
          </w:tcPr>
          <w:p w:rsidR="00080AA1" w:rsidRDefault="00080AA1" w:rsidP="0060584B">
            <w:pPr>
              <w:pStyle w:val="TableParagraph"/>
              <w:spacing w:before="56" w:line="223" w:lineRule="exact"/>
              <w:ind w:left="5"/>
              <w:rPr>
                <w:sz w:val="20"/>
              </w:rPr>
            </w:pPr>
            <w:r>
              <w:rPr>
                <w:spacing w:val="-4"/>
                <w:sz w:val="20"/>
              </w:rPr>
              <w:t>2,12</w:t>
            </w:r>
          </w:p>
        </w:tc>
        <w:tc>
          <w:tcPr>
            <w:tcW w:w="1139" w:type="dxa"/>
          </w:tcPr>
          <w:p w:rsidR="00080AA1" w:rsidRDefault="00080AA1" w:rsidP="0060584B">
            <w:pPr>
              <w:pStyle w:val="TableParagraph"/>
              <w:spacing w:before="56" w:line="223" w:lineRule="exact"/>
              <w:ind w:left="1"/>
              <w:rPr>
                <w:sz w:val="20"/>
              </w:rPr>
            </w:pPr>
            <w:r>
              <w:rPr>
                <w:spacing w:val="-4"/>
                <w:sz w:val="20"/>
              </w:rPr>
              <w:t>2,33</w:t>
            </w:r>
          </w:p>
        </w:tc>
        <w:tc>
          <w:tcPr>
            <w:tcW w:w="868" w:type="dxa"/>
          </w:tcPr>
          <w:p w:rsidR="00080AA1" w:rsidRDefault="00080AA1" w:rsidP="0060584B">
            <w:pPr>
              <w:pStyle w:val="TableParagraph"/>
              <w:spacing w:before="56" w:line="223" w:lineRule="exact"/>
              <w:ind w:left="1"/>
              <w:rPr>
                <w:sz w:val="20"/>
              </w:rPr>
            </w:pPr>
            <w:r>
              <w:rPr>
                <w:spacing w:val="-4"/>
                <w:sz w:val="20"/>
              </w:rPr>
              <w:t>1,83</w:t>
            </w:r>
          </w:p>
        </w:tc>
        <w:tc>
          <w:tcPr>
            <w:tcW w:w="841" w:type="dxa"/>
          </w:tcPr>
          <w:p w:rsidR="00080AA1" w:rsidRDefault="00080AA1" w:rsidP="0060584B">
            <w:pPr>
              <w:pStyle w:val="TableParagraph"/>
              <w:spacing w:before="56" w:line="223" w:lineRule="exact"/>
              <w:ind w:right="1"/>
              <w:rPr>
                <w:sz w:val="20"/>
              </w:rPr>
            </w:pPr>
            <w:r>
              <w:rPr>
                <w:spacing w:val="-4"/>
                <w:sz w:val="20"/>
              </w:rPr>
              <w:t>2,02</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6" w:line="223" w:lineRule="exact"/>
              <w:ind w:left="69"/>
              <w:jc w:val="left"/>
              <w:rPr>
                <w:sz w:val="20"/>
              </w:rPr>
            </w:pPr>
            <w:r>
              <w:rPr>
                <w:sz w:val="20"/>
              </w:rPr>
              <w:t>+</w:t>
            </w:r>
            <w:r>
              <w:rPr>
                <w:spacing w:val="-5"/>
                <w:sz w:val="20"/>
              </w:rPr>
              <w:t>49</w:t>
            </w:r>
          </w:p>
        </w:tc>
        <w:tc>
          <w:tcPr>
            <w:tcW w:w="806" w:type="dxa"/>
          </w:tcPr>
          <w:p w:rsidR="00080AA1" w:rsidRDefault="00080AA1" w:rsidP="0060584B">
            <w:pPr>
              <w:pStyle w:val="TableParagraph"/>
              <w:spacing w:before="56" w:line="223" w:lineRule="exact"/>
              <w:ind w:left="10"/>
              <w:rPr>
                <w:sz w:val="20"/>
              </w:rPr>
            </w:pPr>
            <w:r>
              <w:rPr>
                <w:spacing w:val="-4"/>
                <w:sz w:val="20"/>
              </w:rPr>
              <w:t>1,81</w:t>
            </w:r>
          </w:p>
        </w:tc>
        <w:tc>
          <w:tcPr>
            <w:tcW w:w="914" w:type="dxa"/>
          </w:tcPr>
          <w:p w:rsidR="00080AA1" w:rsidRDefault="00080AA1" w:rsidP="0060584B">
            <w:pPr>
              <w:pStyle w:val="TableParagraph"/>
              <w:spacing w:before="56" w:line="223" w:lineRule="exact"/>
              <w:ind w:left="8"/>
              <w:rPr>
                <w:sz w:val="20"/>
              </w:rPr>
            </w:pPr>
            <w:r>
              <w:rPr>
                <w:spacing w:val="-4"/>
                <w:sz w:val="20"/>
              </w:rPr>
              <w:t>1,81</w:t>
            </w:r>
          </w:p>
        </w:tc>
        <w:tc>
          <w:tcPr>
            <w:tcW w:w="917" w:type="dxa"/>
          </w:tcPr>
          <w:p w:rsidR="00080AA1" w:rsidRDefault="00080AA1" w:rsidP="0060584B">
            <w:pPr>
              <w:pStyle w:val="TableParagraph"/>
              <w:spacing w:before="56" w:line="223" w:lineRule="exact"/>
              <w:ind w:left="11"/>
              <w:rPr>
                <w:sz w:val="20"/>
              </w:rPr>
            </w:pPr>
            <w:r>
              <w:rPr>
                <w:spacing w:val="-4"/>
                <w:sz w:val="20"/>
              </w:rPr>
              <w:t>1,51</w:t>
            </w:r>
          </w:p>
        </w:tc>
        <w:tc>
          <w:tcPr>
            <w:tcW w:w="917" w:type="dxa"/>
          </w:tcPr>
          <w:p w:rsidR="00080AA1" w:rsidRDefault="00080AA1" w:rsidP="0060584B">
            <w:pPr>
              <w:pStyle w:val="TableParagraph"/>
              <w:spacing w:before="56" w:line="223" w:lineRule="exact"/>
              <w:ind w:left="11" w:right="5"/>
              <w:rPr>
                <w:sz w:val="20"/>
              </w:rPr>
            </w:pPr>
            <w:r>
              <w:rPr>
                <w:spacing w:val="-4"/>
                <w:sz w:val="20"/>
              </w:rPr>
              <w:t>1,81</w:t>
            </w:r>
          </w:p>
        </w:tc>
        <w:tc>
          <w:tcPr>
            <w:tcW w:w="675" w:type="dxa"/>
          </w:tcPr>
          <w:p w:rsidR="00080AA1" w:rsidRDefault="00080AA1" w:rsidP="0060584B">
            <w:pPr>
              <w:pStyle w:val="TableParagraph"/>
              <w:spacing w:before="56" w:line="223" w:lineRule="exact"/>
              <w:ind w:left="8"/>
              <w:rPr>
                <w:sz w:val="20"/>
              </w:rPr>
            </w:pPr>
            <w:r>
              <w:rPr>
                <w:spacing w:val="-4"/>
                <w:sz w:val="20"/>
              </w:rPr>
              <w:t>2,21</w:t>
            </w:r>
          </w:p>
        </w:tc>
        <w:tc>
          <w:tcPr>
            <w:tcW w:w="704" w:type="dxa"/>
          </w:tcPr>
          <w:p w:rsidR="00080AA1" w:rsidRDefault="00080AA1" w:rsidP="0060584B">
            <w:pPr>
              <w:pStyle w:val="TableParagraph"/>
              <w:spacing w:before="56" w:line="223" w:lineRule="exact"/>
              <w:ind w:left="10"/>
              <w:rPr>
                <w:sz w:val="20"/>
              </w:rPr>
            </w:pPr>
            <w:r>
              <w:rPr>
                <w:spacing w:val="-4"/>
                <w:sz w:val="20"/>
              </w:rPr>
              <w:t>2,12</w:t>
            </w:r>
          </w:p>
        </w:tc>
        <w:tc>
          <w:tcPr>
            <w:tcW w:w="1173" w:type="dxa"/>
          </w:tcPr>
          <w:p w:rsidR="00080AA1" w:rsidRDefault="00080AA1" w:rsidP="0060584B">
            <w:pPr>
              <w:pStyle w:val="TableParagraph"/>
              <w:spacing w:before="56" w:line="223" w:lineRule="exact"/>
              <w:ind w:left="6"/>
              <w:rPr>
                <w:sz w:val="20"/>
              </w:rPr>
            </w:pPr>
            <w:r>
              <w:rPr>
                <w:spacing w:val="-4"/>
                <w:sz w:val="20"/>
              </w:rPr>
              <w:t>1,81</w:t>
            </w:r>
          </w:p>
        </w:tc>
        <w:tc>
          <w:tcPr>
            <w:tcW w:w="877" w:type="dxa"/>
          </w:tcPr>
          <w:p w:rsidR="00080AA1" w:rsidRDefault="00080AA1" w:rsidP="0060584B">
            <w:pPr>
              <w:pStyle w:val="TableParagraph"/>
              <w:spacing w:before="56" w:line="223" w:lineRule="exact"/>
              <w:ind w:left="5"/>
              <w:rPr>
                <w:sz w:val="20"/>
              </w:rPr>
            </w:pPr>
            <w:r>
              <w:rPr>
                <w:spacing w:val="-4"/>
                <w:sz w:val="20"/>
              </w:rPr>
              <w:t>2,13</w:t>
            </w:r>
          </w:p>
        </w:tc>
        <w:tc>
          <w:tcPr>
            <w:tcW w:w="1139" w:type="dxa"/>
          </w:tcPr>
          <w:p w:rsidR="00080AA1" w:rsidRDefault="00080AA1" w:rsidP="0060584B">
            <w:pPr>
              <w:pStyle w:val="TableParagraph"/>
              <w:spacing w:before="56" w:line="223" w:lineRule="exact"/>
              <w:ind w:left="1"/>
              <w:rPr>
                <w:sz w:val="20"/>
              </w:rPr>
            </w:pPr>
            <w:r>
              <w:rPr>
                <w:spacing w:val="-4"/>
                <w:sz w:val="20"/>
              </w:rPr>
              <w:t>2,35</w:t>
            </w:r>
          </w:p>
        </w:tc>
        <w:tc>
          <w:tcPr>
            <w:tcW w:w="868" w:type="dxa"/>
          </w:tcPr>
          <w:p w:rsidR="00080AA1" w:rsidRDefault="00080AA1" w:rsidP="0060584B">
            <w:pPr>
              <w:pStyle w:val="TableParagraph"/>
              <w:spacing w:before="56" w:line="223" w:lineRule="exact"/>
              <w:ind w:left="1"/>
              <w:rPr>
                <w:sz w:val="20"/>
              </w:rPr>
            </w:pPr>
            <w:r>
              <w:rPr>
                <w:spacing w:val="-4"/>
                <w:sz w:val="20"/>
              </w:rPr>
              <w:t>2,10</w:t>
            </w:r>
          </w:p>
        </w:tc>
        <w:tc>
          <w:tcPr>
            <w:tcW w:w="841" w:type="dxa"/>
          </w:tcPr>
          <w:p w:rsidR="00080AA1" w:rsidRDefault="00080AA1" w:rsidP="0060584B">
            <w:pPr>
              <w:pStyle w:val="TableParagraph"/>
              <w:spacing w:before="56" w:line="223" w:lineRule="exact"/>
              <w:ind w:right="1"/>
              <w:rPr>
                <w:sz w:val="20"/>
              </w:rPr>
            </w:pPr>
            <w:r>
              <w:rPr>
                <w:spacing w:val="-4"/>
                <w:sz w:val="20"/>
              </w:rPr>
              <w:t>2,01</w:t>
            </w:r>
          </w:p>
        </w:tc>
      </w:tr>
      <w:tr w:rsidR="00080AA1" w:rsidTr="0060584B">
        <w:trPr>
          <w:trHeight w:val="301"/>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6"/>
              <w:ind w:left="69"/>
              <w:jc w:val="left"/>
              <w:rPr>
                <w:sz w:val="20"/>
              </w:rPr>
            </w:pPr>
            <w:r>
              <w:rPr>
                <w:spacing w:val="-2"/>
                <w:sz w:val="20"/>
              </w:rPr>
              <w:t>30-</w:t>
            </w:r>
            <w:r>
              <w:rPr>
                <w:spacing w:val="-5"/>
                <w:sz w:val="20"/>
              </w:rPr>
              <w:t>39</w:t>
            </w:r>
          </w:p>
        </w:tc>
        <w:tc>
          <w:tcPr>
            <w:tcW w:w="806" w:type="dxa"/>
          </w:tcPr>
          <w:p w:rsidR="00080AA1" w:rsidRDefault="00080AA1" w:rsidP="0060584B">
            <w:pPr>
              <w:pStyle w:val="TableParagraph"/>
              <w:spacing w:before="56"/>
              <w:ind w:left="10"/>
              <w:rPr>
                <w:sz w:val="20"/>
              </w:rPr>
            </w:pPr>
            <w:r>
              <w:rPr>
                <w:spacing w:val="-4"/>
                <w:sz w:val="20"/>
              </w:rPr>
              <w:t>1,58</w:t>
            </w:r>
          </w:p>
        </w:tc>
        <w:tc>
          <w:tcPr>
            <w:tcW w:w="914" w:type="dxa"/>
          </w:tcPr>
          <w:p w:rsidR="00080AA1" w:rsidRDefault="00080AA1" w:rsidP="0060584B">
            <w:pPr>
              <w:pStyle w:val="TableParagraph"/>
              <w:spacing w:before="56"/>
              <w:ind w:left="8"/>
              <w:rPr>
                <w:sz w:val="20"/>
              </w:rPr>
            </w:pPr>
            <w:r>
              <w:rPr>
                <w:spacing w:val="-4"/>
                <w:sz w:val="20"/>
              </w:rPr>
              <w:t>1,36</w:t>
            </w:r>
          </w:p>
        </w:tc>
        <w:tc>
          <w:tcPr>
            <w:tcW w:w="917" w:type="dxa"/>
          </w:tcPr>
          <w:p w:rsidR="00080AA1" w:rsidRDefault="00080AA1" w:rsidP="0060584B">
            <w:pPr>
              <w:pStyle w:val="TableParagraph"/>
              <w:spacing w:before="56"/>
              <w:ind w:left="11"/>
              <w:rPr>
                <w:sz w:val="20"/>
              </w:rPr>
            </w:pPr>
            <w:r>
              <w:rPr>
                <w:spacing w:val="-4"/>
                <w:sz w:val="20"/>
              </w:rPr>
              <w:t>1,25</w:t>
            </w:r>
          </w:p>
        </w:tc>
        <w:tc>
          <w:tcPr>
            <w:tcW w:w="917" w:type="dxa"/>
          </w:tcPr>
          <w:p w:rsidR="00080AA1" w:rsidRDefault="00080AA1" w:rsidP="0060584B">
            <w:pPr>
              <w:pStyle w:val="TableParagraph"/>
              <w:spacing w:before="56"/>
              <w:ind w:left="11" w:right="5"/>
              <w:rPr>
                <w:sz w:val="20"/>
              </w:rPr>
            </w:pPr>
            <w:r>
              <w:rPr>
                <w:spacing w:val="-4"/>
                <w:sz w:val="20"/>
              </w:rPr>
              <w:t>1,27</w:t>
            </w:r>
          </w:p>
        </w:tc>
        <w:tc>
          <w:tcPr>
            <w:tcW w:w="675" w:type="dxa"/>
          </w:tcPr>
          <w:p w:rsidR="00080AA1" w:rsidRDefault="00080AA1" w:rsidP="0060584B">
            <w:pPr>
              <w:pStyle w:val="TableParagraph"/>
              <w:spacing w:before="56"/>
              <w:ind w:left="8"/>
              <w:rPr>
                <w:sz w:val="20"/>
              </w:rPr>
            </w:pPr>
            <w:r>
              <w:rPr>
                <w:spacing w:val="-4"/>
                <w:sz w:val="20"/>
              </w:rPr>
              <w:t>1,30</w:t>
            </w:r>
          </w:p>
        </w:tc>
        <w:tc>
          <w:tcPr>
            <w:tcW w:w="704" w:type="dxa"/>
          </w:tcPr>
          <w:p w:rsidR="00080AA1" w:rsidRDefault="00080AA1" w:rsidP="0060584B">
            <w:pPr>
              <w:pStyle w:val="TableParagraph"/>
              <w:spacing w:before="56"/>
              <w:ind w:left="10"/>
              <w:rPr>
                <w:sz w:val="20"/>
              </w:rPr>
            </w:pPr>
            <w:r>
              <w:rPr>
                <w:spacing w:val="-4"/>
                <w:sz w:val="20"/>
              </w:rPr>
              <w:t>1,37</w:t>
            </w:r>
          </w:p>
        </w:tc>
        <w:tc>
          <w:tcPr>
            <w:tcW w:w="1173" w:type="dxa"/>
          </w:tcPr>
          <w:p w:rsidR="00080AA1" w:rsidRDefault="00080AA1" w:rsidP="0060584B">
            <w:pPr>
              <w:pStyle w:val="TableParagraph"/>
              <w:spacing w:before="56"/>
              <w:ind w:left="6"/>
              <w:rPr>
                <w:sz w:val="20"/>
              </w:rPr>
            </w:pPr>
            <w:r>
              <w:rPr>
                <w:spacing w:val="-4"/>
                <w:sz w:val="20"/>
              </w:rPr>
              <w:t>1,42</w:t>
            </w:r>
          </w:p>
        </w:tc>
        <w:tc>
          <w:tcPr>
            <w:tcW w:w="877" w:type="dxa"/>
          </w:tcPr>
          <w:p w:rsidR="00080AA1" w:rsidRDefault="00080AA1" w:rsidP="0060584B">
            <w:pPr>
              <w:pStyle w:val="TableParagraph"/>
              <w:spacing w:before="56"/>
              <w:ind w:left="5"/>
              <w:rPr>
                <w:sz w:val="20"/>
              </w:rPr>
            </w:pPr>
            <w:r>
              <w:rPr>
                <w:spacing w:val="-4"/>
                <w:sz w:val="20"/>
              </w:rPr>
              <w:t>1,38</w:t>
            </w:r>
          </w:p>
        </w:tc>
        <w:tc>
          <w:tcPr>
            <w:tcW w:w="1139" w:type="dxa"/>
          </w:tcPr>
          <w:p w:rsidR="00080AA1" w:rsidRDefault="00080AA1" w:rsidP="0060584B">
            <w:pPr>
              <w:pStyle w:val="TableParagraph"/>
              <w:spacing w:before="56"/>
              <w:ind w:left="1"/>
              <w:rPr>
                <w:sz w:val="20"/>
              </w:rPr>
            </w:pPr>
            <w:r>
              <w:rPr>
                <w:spacing w:val="-4"/>
                <w:sz w:val="20"/>
              </w:rPr>
              <w:t>1,67</w:t>
            </w:r>
          </w:p>
        </w:tc>
        <w:tc>
          <w:tcPr>
            <w:tcW w:w="868" w:type="dxa"/>
          </w:tcPr>
          <w:p w:rsidR="00080AA1" w:rsidRDefault="00080AA1" w:rsidP="0060584B">
            <w:pPr>
              <w:pStyle w:val="TableParagraph"/>
              <w:spacing w:before="56"/>
              <w:ind w:left="1"/>
              <w:rPr>
                <w:sz w:val="20"/>
              </w:rPr>
            </w:pPr>
            <w:r>
              <w:rPr>
                <w:spacing w:val="-4"/>
                <w:sz w:val="20"/>
              </w:rPr>
              <w:t>1,27</w:t>
            </w:r>
          </w:p>
        </w:tc>
        <w:tc>
          <w:tcPr>
            <w:tcW w:w="841" w:type="dxa"/>
          </w:tcPr>
          <w:p w:rsidR="00080AA1" w:rsidRDefault="00080AA1" w:rsidP="0060584B">
            <w:pPr>
              <w:pStyle w:val="TableParagraph"/>
              <w:spacing w:before="56"/>
              <w:ind w:right="1"/>
              <w:rPr>
                <w:sz w:val="20"/>
              </w:rPr>
            </w:pPr>
            <w:r>
              <w:rPr>
                <w:spacing w:val="-4"/>
                <w:sz w:val="20"/>
              </w:rPr>
              <w:t>1,43</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4"/>
              <w:ind w:left="69"/>
              <w:jc w:val="left"/>
              <w:rPr>
                <w:sz w:val="20"/>
              </w:rPr>
            </w:pPr>
            <w:r>
              <w:rPr>
                <w:spacing w:val="-2"/>
                <w:sz w:val="20"/>
              </w:rPr>
              <w:t>40-</w:t>
            </w:r>
            <w:r>
              <w:rPr>
                <w:spacing w:val="-5"/>
                <w:sz w:val="20"/>
              </w:rPr>
              <w:t>49</w:t>
            </w:r>
          </w:p>
        </w:tc>
        <w:tc>
          <w:tcPr>
            <w:tcW w:w="806" w:type="dxa"/>
          </w:tcPr>
          <w:p w:rsidR="00080AA1" w:rsidRDefault="00080AA1" w:rsidP="0060584B">
            <w:pPr>
              <w:pStyle w:val="TableParagraph"/>
              <w:spacing w:before="54"/>
              <w:ind w:left="10"/>
              <w:rPr>
                <w:sz w:val="20"/>
              </w:rPr>
            </w:pPr>
            <w:r>
              <w:rPr>
                <w:spacing w:val="-4"/>
                <w:sz w:val="20"/>
              </w:rPr>
              <w:t>2,01</w:t>
            </w:r>
          </w:p>
        </w:tc>
        <w:tc>
          <w:tcPr>
            <w:tcW w:w="914" w:type="dxa"/>
          </w:tcPr>
          <w:p w:rsidR="00080AA1" w:rsidRDefault="00080AA1" w:rsidP="0060584B">
            <w:pPr>
              <w:pStyle w:val="TableParagraph"/>
              <w:spacing w:before="54"/>
              <w:ind w:left="8"/>
              <w:rPr>
                <w:sz w:val="20"/>
              </w:rPr>
            </w:pPr>
            <w:r>
              <w:rPr>
                <w:spacing w:val="-4"/>
                <w:sz w:val="20"/>
              </w:rPr>
              <w:t>1,86</w:t>
            </w:r>
          </w:p>
        </w:tc>
        <w:tc>
          <w:tcPr>
            <w:tcW w:w="917" w:type="dxa"/>
          </w:tcPr>
          <w:p w:rsidR="00080AA1" w:rsidRDefault="00080AA1" w:rsidP="0060584B">
            <w:pPr>
              <w:pStyle w:val="TableParagraph"/>
              <w:spacing w:before="54"/>
              <w:ind w:left="11"/>
              <w:rPr>
                <w:sz w:val="20"/>
              </w:rPr>
            </w:pPr>
            <w:r>
              <w:rPr>
                <w:spacing w:val="-4"/>
                <w:sz w:val="20"/>
              </w:rPr>
              <w:t>1,61</w:t>
            </w:r>
          </w:p>
        </w:tc>
        <w:tc>
          <w:tcPr>
            <w:tcW w:w="917" w:type="dxa"/>
          </w:tcPr>
          <w:p w:rsidR="00080AA1" w:rsidRDefault="00080AA1" w:rsidP="0060584B">
            <w:pPr>
              <w:pStyle w:val="TableParagraph"/>
              <w:spacing w:before="54"/>
              <w:ind w:left="11" w:right="5"/>
              <w:rPr>
                <w:sz w:val="20"/>
              </w:rPr>
            </w:pPr>
            <w:r>
              <w:rPr>
                <w:spacing w:val="-4"/>
                <w:sz w:val="20"/>
              </w:rPr>
              <w:t>1,63</w:t>
            </w:r>
          </w:p>
        </w:tc>
        <w:tc>
          <w:tcPr>
            <w:tcW w:w="675" w:type="dxa"/>
          </w:tcPr>
          <w:p w:rsidR="00080AA1" w:rsidRDefault="00080AA1" w:rsidP="0060584B">
            <w:pPr>
              <w:pStyle w:val="TableParagraph"/>
              <w:spacing w:before="54"/>
              <w:ind w:left="8"/>
              <w:rPr>
                <w:sz w:val="20"/>
              </w:rPr>
            </w:pPr>
            <w:r>
              <w:rPr>
                <w:spacing w:val="-4"/>
                <w:sz w:val="20"/>
              </w:rPr>
              <w:t>1,74</w:t>
            </w:r>
          </w:p>
        </w:tc>
        <w:tc>
          <w:tcPr>
            <w:tcW w:w="704" w:type="dxa"/>
          </w:tcPr>
          <w:p w:rsidR="00080AA1" w:rsidRDefault="00080AA1" w:rsidP="0060584B">
            <w:pPr>
              <w:pStyle w:val="TableParagraph"/>
              <w:spacing w:before="54"/>
              <w:ind w:left="10"/>
              <w:rPr>
                <w:sz w:val="20"/>
              </w:rPr>
            </w:pPr>
            <w:r>
              <w:rPr>
                <w:spacing w:val="-4"/>
                <w:sz w:val="20"/>
              </w:rPr>
              <w:t>1,81</w:t>
            </w:r>
          </w:p>
        </w:tc>
        <w:tc>
          <w:tcPr>
            <w:tcW w:w="1173" w:type="dxa"/>
          </w:tcPr>
          <w:p w:rsidR="00080AA1" w:rsidRDefault="00080AA1" w:rsidP="0060584B">
            <w:pPr>
              <w:pStyle w:val="TableParagraph"/>
              <w:spacing w:before="54"/>
              <w:ind w:left="6"/>
              <w:rPr>
                <w:sz w:val="20"/>
              </w:rPr>
            </w:pPr>
            <w:r>
              <w:rPr>
                <w:spacing w:val="-4"/>
                <w:sz w:val="20"/>
              </w:rPr>
              <w:t>1,81</w:t>
            </w:r>
          </w:p>
        </w:tc>
        <w:tc>
          <w:tcPr>
            <w:tcW w:w="877" w:type="dxa"/>
          </w:tcPr>
          <w:p w:rsidR="00080AA1" w:rsidRDefault="00080AA1" w:rsidP="0060584B">
            <w:pPr>
              <w:pStyle w:val="TableParagraph"/>
              <w:spacing w:before="54"/>
              <w:ind w:left="5"/>
              <w:rPr>
                <w:sz w:val="20"/>
              </w:rPr>
            </w:pPr>
            <w:r>
              <w:rPr>
                <w:spacing w:val="-4"/>
                <w:sz w:val="20"/>
              </w:rPr>
              <w:t>1,82</w:t>
            </w:r>
          </w:p>
        </w:tc>
        <w:tc>
          <w:tcPr>
            <w:tcW w:w="1139" w:type="dxa"/>
          </w:tcPr>
          <w:p w:rsidR="00080AA1" w:rsidRDefault="00080AA1" w:rsidP="0060584B">
            <w:pPr>
              <w:pStyle w:val="TableParagraph"/>
              <w:spacing w:before="54"/>
              <w:ind w:left="1"/>
              <w:rPr>
                <w:sz w:val="20"/>
              </w:rPr>
            </w:pPr>
            <w:r>
              <w:rPr>
                <w:spacing w:val="-4"/>
                <w:sz w:val="20"/>
              </w:rPr>
              <w:t>2,03</w:t>
            </w:r>
          </w:p>
        </w:tc>
        <w:tc>
          <w:tcPr>
            <w:tcW w:w="868" w:type="dxa"/>
          </w:tcPr>
          <w:p w:rsidR="00080AA1" w:rsidRDefault="00080AA1" w:rsidP="0060584B">
            <w:pPr>
              <w:pStyle w:val="TableParagraph"/>
              <w:spacing w:before="54"/>
              <w:ind w:left="1"/>
              <w:rPr>
                <w:sz w:val="20"/>
              </w:rPr>
            </w:pPr>
            <w:r>
              <w:rPr>
                <w:spacing w:val="-4"/>
                <w:sz w:val="20"/>
              </w:rPr>
              <w:t>1,76</w:t>
            </w:r>
          </w:p>
        </w:tc>
        <w:tc>
          <w:tcPr>
            <w:tcW w:w="841" w:type="dxa"/>
          </w:tcPr>
          <w:p w:rsidR="00080AA1" w:rsidRDefault="00080AA1" w:rsidP="0060584B">
            <w:pPr>
              <w:pStyle w:val="TableParagraph"/>
              <w:spacing w:before="54"/>
              <w:ind w:right="1"/>
              <w:rPr>
                <w:sz w:val="20"/>
              </w:rPr>
            </w:pPr>
            <w:r>
              <w:rPr>
                <w:spacing w:val="-4"/>
                <w:sz w:val="20"/>
              </w:rPr>
              <w:t>2,05</w:t>
            </w:r>
          </w:p>
        </w:tc>
      </w:tr>
      <w:tr w:rsidR="00080AA1" w:rsidTr="0060584B">
        <w:trPr>
          <w:trHeight w:val="299"/>
        </w:trPr>
        <w:tc>
          <w:tcPr>
            <w:tcW w:w="1431" w:type="dxa"/>
            <w:vMerge w:val="restart"/>
            <w:vAlign w:val="center"/>
          </w:tcPr>
          <w:p w:rsidR="00080AA1" w:rsidRDefault="00080AA1" w:rsidP="0060584B">
            <w:pPr>
              <w:pStyle w:val="TableParagraph"/>
              <w:spacing w:line="240" w:lineRule="auto"/>
              <w:jc w:val="left"/>
              <w:rPr>
                <w:b/>
                <w:sz w:val="20"/>
              </w:rPr>
            </w:pPr>
            <w:r w:rsidRPr="00DD3060">
              <w:rPr>
                <w:b/>
                <w:spacing w:val="-2"/>
                <w:sz w:val="20"/>
              </w:rPr>
              <w:t>Seniority</w:t>
            </w:r>
          </w:p>
        </w:tc>
        <w:tc>
          <w:tcPr>
            <w:tcW w:w="2835" w:type="dxa"/>
          </w:tcPr>
          <w:p w:rsidR="00080AA1" w:rsidRDefault="00080AA1" w:rsidP="0060584B">
            <w:pPr>
              <w:pStyle w:val="TableParagraph"/>
              <w:spacing w:before="54"/>
              <w:ind w:left="69"/>
              <w:jc w:val="left"/>
              <w:rPr>
                <w:sz w:val="20"/>
              </w:rPr>
            </w:pPr>
            <w:r>
              <w:rPr>
                <w:spacing w:val="-2"/>
                <w:sz w:val="20"/>
              </w:rPr>
              <w:t>-</w:t>
            </w:r>
            <w:r>
              <w:rPr>
                <w:spacing w:val="-12"/>
                <w:sz w:val="20"/>
              </w:rPr>
              <w:t>1</w:t>
            </w:r>
          </w:p>
        </w:tc>
        <w:tc>
          <w:tcPr>
            <w:tcW w:w="806" w:type="dxa"/>
          </w:tcPr>
          <w:p w:rsidR="00080AA1" w:rsidRDefault="00080AA1" w:rsidP="0060584B">
            <w:pPr>
              <w:pStyle w:val="TableParagraph"/>
              <w:spacing w:before="54"/>
              <w:ind w:left="10"/>
              <w:rPr>
                <w:sz w:val="20"/>
              </w:rPr>
            </w:pPr>
            <w:r>
              <w:rPr>
                <w:spacing w:val="-4"/>
                <w:sz w:val="20"/>
              </w:rPr>
              <w:t>2,27</w:t>
            </w:r>
          </w:p>
        </w:tc>
        <w:tc>
          <w:tcPr>
            <w:tcW w:w="914" w:type="dxa"/>
          </w:tcPr>
          <w:p w:rsidR="00080AA1" w:rsidRDefault="00080AA1" w:rsidP="0060584B">
            <w:pPr>
              <w:pStyle w:val="TableParagraph"/>
              <w:spacing w:before="54"/>
              <w:ind w:left="8"/>
              <w:rPr>
                <w:sz w:val="20"/>
              </w:rPr>
            </w:pPr>
            <w:r>
              <w:rPr>
                <w:spacing w:val="-4"/>
                <w:sz w:val="20"/>
              </w:rPr>
              <w:t>2,52</w:t>
            </w:r>
          </w:p>
        </w:tc>
        <w:tc>
          <w:tcPr>
            <w:tcW w:w="917" w:type="dxa"/>
          </w:tcPr>
          <w:p w:rsidR="00080AA1" w:rsidRDefault="00080AA1" w:rsidP="0060584B">
            <w:pPr>
              <w:pStyle w:val="TableParagraph"/>
              <w:spacing w:before="54"/>
              <w:ind w:left="11"/>
              <w:rPr>
                <w:sz w:val="20"/>
              </w:rPr>
            </w:pPr>
            <w:r>
              <w:rPr>
                <w:spacing w:val="-4"/>
                <w:sz w:val="20"/>
              </w:rPr>
              <w:t>1,64</w:t>
            </w:r>
          </w:p>
        </w:tc>
        <w:tc>
          <w:tcPr>
            <w:tcW w:w="917" w:type="dxa"/>
          </w:tcPr>
          <w:p w:rsidR="00080AA1" w:rsidRDefault="00080AA1" w:rsidP="0060584B">
            <w:pPr>
              <w:pStyle w:val="TableParagraph"/>
              <w:spacing w:before="54"/>
              <w:ind w:left="11" w:right="5"/>
              <w:rPr>
                <w:sz w:val="20"/>
              </w:rPr>
            </w:pPr>
            <w:r>
              <w:rPr>
                <w:spacing w:val="-4"/>
                <w:sz w:val="20"/>
              </w:rPr>
              <w:t>1,64</w:t>
            </w:r>
          </w:p>
        </w:tc>
        <w:tc>
          <w:tcPr>
            <w:tcW w:w="675" w:type="dxa"/>
          </w:tcPr>
          <w:p w:rsidR="00080AA1" w:rsidRDefault="00080AA1" w:rsidP="0060584B">
            <w:pPr>
              <w:pStyle w:val="TableParagraph"/>
              <w:spacing w:before="54"/>
              <w:ind w:left="8"/>
              <w:rPr>
                <w:sz w:val="20"/>
              </w:rPr>
            </w:pPr>
            <w:r>
              <w:rPr>
                <w:spacing w:val="-4"/>
                <w:sz w:val="20"/>
              </w:rPr>
              <w:t>2,01</w:t>
            </w:r>
          </w:p>
        </w:tc>
        <w:tc>
          <w:tcPr>
            <w:tcW w:w="704" w:type="dxa"/>
          </w:tcPr>
          <w:p w:rsidR="00080AA1" w:rsidRDefault="00080AA1" w:rsidP="0060584B">
            <w:pPr>
              <w:pStyle w:val="TableParagraph"/>
              <w:spacing w:before="54"/>
              <w:ind w:left="10"/>
              <w:rPr>
                <w:sz w:val="20"/>
              </w:rPr>
            </w:pPr>
            <w:r>
              <w:rPr>
                <w:spacing w:val="-4"/>
                <w:sz w:val="20"/>
              </w:rPr>
              <w:t>2,02</w:t>
            </w:r>
          </w:p>
        </w:tc>
        <w:tc>
          <w:tcPr>
            <w:tcW w:w="1173" w:type="dxa"/>
          </w:tcPr>
          <w:p w:rsidR="00080AA1" w:rsidRDefault="00080AA1" w:rsidP="0060584B">
            <w:pPr>
              <w:pStyle w:val="TableParagraph"/>
              <w:spacing w:before="54"/>
              <w:ind w:left="6"/>
              <w:rPr>
                <w:sz w:val="20"/>
              </w:rPr>
            </w:pPr>
            <w:r>
              <w:rPr>
                <w:spacing w:val="-4"/>
                <w:sz w:val="20"/>
              </w:rPr>
              <w:t>2,02</w:t>
            </w:r>
          </w:p>
        </w:tc>
        <w:tc>
          <w:tcPr>
            <w:tcW w:w="877" w:type="dxa"/>
          </w:tcPr>
          <w:p w:rsidR="00080AA1" w:rsidRDefault="00080AA1" w:rsidP="0060584B">
            <w:pPr>
              <w:pStyle w:val="TableParagraph"/>
              <w:spacing w:before="54"/>
              <w:ind w:left="5"/>
              <w:rPr>
                <w:sz w:val="20"/>
              </w:rPr>
            </w:pPr>
            <w:r>
              <w:rPr>
                <w:spacing w:val="-4"/>
                <w:sz w:val="20"/>
              </w:rPr>
              <w:t>2,03</w:t>
            </w:r>
          </w:p>
        </w:tc>
        <w:tc>
          <w:tcPr>
            <w:tcW w:w="1139" w:type="dxa"/>
          </w:tcPr>
          <w:p w:rsidR="00080AA1" w:rsidRDefault="00080AA1" w:rsidP="0060584B">
            <w:pPr>
              <w:pStyle w:val="TableParagraph"/>
              <w:spacing w:before="54"/>
              <w:ind w:left="1"/>
              <w:rPr>
                <w:sz w:val="20"/>
              </w:rPr>
            </w:pPr>
            <w:r>
              <w:rPr>
                <w:spacing w:val="-4"/>
                <w:sz w:val="20"/>
              </w:rPr>
              <w:t>2,27</w:t>
            </w:r>
          </w:p>
        </w:tc>
        <w:tc>
          <w:tcPr>
            <w:tcW w:w="868" w:type="dxa"/>
          </w:tcPr>
          <w:p w:rsidR="00080AA1" w:rsidRDefault="00080AA1" w:rsidP="0060584B">
            <w:pPr>
              <w:pStyle w:val="TableParagraph"/>
              <w:spacing w:before="54"/>
              <w:ind w:left="1"/>
              <w:rPr>
                <w:sz w:val="20"/>
              </w:rPr>
            </w:pPr>
            <w:r>
              <w:rPr>
                <w:spacing w:val="-4"/>
                <w:sz w:val="20"/>
              </w:rPr>
              <w:t>2,01</w:t>
            </w:r>
          </w:p>
        </w:tc>
        <w:tc>
          <w:tcPr>
            <w:tcW w:w="841" w:type="dxa"/>
          </w:tcPr>
          <w:p w:rsidR="00080AA1" w:rsidRDefault="00080AA1" w:rsidP="0060584B">
            <w:pPr>
              <w:pStyle w:val="TableParagraph"/>
              <w:spacing w:before="54"/>
              <w:ind w:right="1"/>
              <w:rPr>
                <w:sz w:val="20"/>
              </w:rPr>
            </w:pPr>
            <w:r>
              <w:rPr>
                <w:spacing w:val="-4"/>
                <w:sz w:val="20"/>
              </w:rPr>
              <w:t>2,27</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4"/>
              <w:ind w:left="69"/>
              <w:jc w:val="left"/>
              <w:rPr>
                <w:sz w:val="20"/>
              </w:rPr>
            </w:pPr>
            <w:r>
              <w:rPr>
                <w:spacing w:val="-2"/>
                <w:sz w:val="20"/>
              </w:rPr>
              <w:t>1-</w:t>
            </w:r>
            <w:r>
              <w:rPr>
                <w:spacing w:val="-10"/>
                <w:sz w:val="20"/>
              </w:rPr>
              <w:t>5</w:t>
            </w:r>
          </w:p>
        </w:tc>
        <w:tc>
          <w:tcPr>
            <w:tcW w:w="806" w:type="dxa"/>
          </w:tcPr>
          <w:p w:rsidR="00080AA1" w:rsidRDefault="00080AA1" w:rsidP="0060584B">
            <w:pPr>
              <w:pStyle w:val="TableParagraph"/>
              <w:spacing w:before="54"/>
              <w:ind w:left="10"/>
              <w:rPr>
                <w:sz w:val="20"/>
              </w:rPr>
            </w:pPr>
            <w:r>
              <w:rPr>
                <w:spacing w:val="-4"/>
                <w:sz w:val="20"/>
              </w:rPr>
              <w:t>1,73</w:t>
            </w:r>
          </w:p>
        </w:tc>
        <w:tc>
          <w:tcPr>
            <w:tcW w:w="914" w:type="dxa"/>
          </w:tcPr>
          <w:p w:rsidR="00080AA1" w:rsidRDefault="00080AA1" w:rsidP="0060584B">
            <w:pPr>
              <w:pStyle w:val="TableParagraph"/>
              <w:spacing w:before="54"/>
              <w:ind w:left="8"/>
              <w:rPr>
                <w:sz w:val="20"/>
              </w:rPr>
            </w:pPr>
            <w:r>
              <w:rPr>
                <w:spacing w:val="-4"/>
                <w:sz w:val="20"/>
              </w:rPr>
              <w:t>1,50</w:t>
            </w:r>
          </w:p>
        </w:tc>
        <w:tc>
          <w:tcPr>
            <w:tcW w:w="917" w:type="dxa"/>
          </w:tcPr>
          <w:p w:rsidR="00080AA1" w:rsidRDefault="00080AA1" w:rsidP="0060584B">
            <w:pPr>
              <w:pStyle w:val="TableParagraph"/>
              <w:spacing w:before="54"/>
              <w:ind w:left="11"/>
              <w:rPr>
                <w:sz w:val="20"/>
              </w:rPr>
            </w:pPr>
            <w:r>
              <w:rPr>
                <w:spacing w:val="-4"/>
                <w:sz w:val="20"/>
              </w:rPr>
              <w:t>1,51</w:t>
            </w:r>
          </w:p>
        </w:tc>
        <w:tc>
          <w:tcPr>
            <w:tcW w:w="917" w:type="dxa"/>
          </w:tcPr>
          <w:p w:rsidR="00080AA1" w:rsidRDefault="00080AA1" w:rsidP="0060584B">
            <w:pPr>
              <w:pStyle w:val="TableParagraph"/>
              <w:spacing w:before="54"/>
              <w:ind w:left="11" w:right="5"/>
              <w:rPr>
                <w:sz w:val="20"/>
              </w:rPr>
            </w:pPr>
            <w:r>
              <w:rPr>
                <w:spacing w:val="-4"/>
                <w:sz w:val="20"/>
              </w:rPr>
              <w:t>1,53</w:t>
            </w:r>
          </w:p>
        </w:tc>
        <w:tc>
          <w:tcPr>
            <w:tcW w:w="675" w:type="dxa"/>
          </w:tcPr>
          <w:p w:rsidR="00080AA1" w:rsidRDefault="00080AA1" w:rsidP="0060584B">
            <w:pPr>
              <w:pStyle w:val="TableParagraph"/>
              <w:spacing w:before="54"/>
              <w:ind w:left="8"/>
              <w:rPr>
                <w:sz w:val="20"/>
              </w:rPr>
            </w:pPr>
            <w:r>
              <w:rPr>
                <w:spacing w:val="-4"/>
                <w:sz w:val="20"/>
              </w:rPr>
              <w:t>1,58</w:t>
            </w:r>
          </w:p>
        </w:tc>
        <w:tc>
          <w:tcPr>
            <w:tcW w:w="704" w:type="dxa"/>
          </w:tcPr>
          <w:p w:rsidR="00080AA1" w:rsidRDefault="00080AA1" w:rsidP="0060584B">
            <w:pPr>
              <w:pStyle w:val="TableParagraph"/>
              <w:spacing w:before="54"/>
              <w:ind w:left="10"/>
              <w:rPr>
                <w:sz w:val="20"/>
              </w:rPr>
            </w:pPr>
            <w:r>
              <w:rPr>
                <w:spacing w:val="-4"/>
                <w:sz w:val="20"/>
              </w:rPr>
              <w:t>1,71</w:t>
            </w:r>
          </w:p>
        </w:tc>
        <w:tc>
          <w:tcPr>
            <w:tcW w:w="1173" w:type="dxa"/>
          </w:tcPr>
          <w:p w:rsidR="00080AA1" w:rsidRDefault="00080AA1" w:rsidP="0060584B">
            <w:pPr>
              <w:pStyle w:val="TableParagraph"/>
              <w:spacing w:before="54"/>
              <w:ind w:left="6"/>
              <w:rPr>
                <w:sz w:val="20"/>
              </w:rPr>
            </w:pPr>
            <w:r>
              <w:rPr>
                <w:spacing w:val="-4"/>
                <w:sz w:val="20"/>
              </w:rPr>
              <w:t>1,80</w:t>
            </w:r>
          </w:p>
        </w:tc>
        <w:tc>
          <w:tcPr>
            <w:tcW w:w="877" w:type="dxa"/>
          </w:tcPr>
          <w:p w:rsidR="00080AA1" w:rsidRDefault="00080AA1" w:rsidP="0060584B">
            <w:pPr>
              <w:pStyle w:val="TableParagraph"/>
              <w:spacing w:before="54"/>
              <w:ind w:left="5"/>
              <w:rPr>
                <w:sz w:val="20"/>
              </w:rPr>
            </w:pPr>
            <w:r>
              <w:rPr>
                <w:spacing w:val="-4"/>
                <w:sz w:val="20"/>
              </w:rPr>
              <w:t>1,63</w:t>
            </w:r>
          </w:p>
        </w:tc>
        <w:tc>
          <w:tcPr>
            <w:tcW w:w="1139" w:type="dxa"/>
          </w:tcPr>
          <w:p w:rsidR="00080AA1" w:rsidRDefault="00080AA1" w:rsidP="0060584B">
            <w:pPr>
              <w:pStyle w:val="TableParagraph"/>
              <w:spacing w:before="54"/>
              <w:ind w:left="1"/>
              <w:rPr>
                <w:sz w:val="20"/>
              </w:rPr>
            </w:pPr>
            <w:r>
              <w:rPr>
                <w:spacing w:val="-4"/>
                <w:sz w:val="20"/>
              </w:rPr>
              <w:t>2,05</w:t>
            </w:r>
          </w:p>
        </w:tc>
        <w:tc>
          <w:tcPr>
            <w:tcW w:w="868" w:type="dxa"/>
          </w:tcPr>
          <w:p w:rsidR="00080AA1" w:rsidRDefault="00080AA1" w:rsidP="0060584B">
            <w:pPr>
              <w:pStyle w:val="TableParagraph"/>
              <w:spacing w:before="54"/>
              <w:ind w:left="1"/>
              <w:rPr>
                <w:sz w:val="20"/>
              </w:rPr>
            </w:pPr>
            <w:r>
              <w:rPr>
                <w:spacing w:val="-4"/>
                <w:sz w:val="20"/>
              </w:rPr>
              <w:t>1,45</w:t>
            </w:r>
          </w:p>
        </w:tc>
        <w:tc>
          <w:tcPr>
            <w:tcW w:w="841" w:type="dxa"/>
          </w:tcPr>
          <w:p w:rsidR="00080AA1" w:rsidRDefault="00080AA1" w:rsidP="0060584B">
            <w:pPr>
              <w:pStyle w:val="TableParagraph"/>
              <w:spacing w:before="54"/>
              <w:ind w:right="1"/>
              <w:rPr>
                <w:sz w:val="20"/>
              </w:rPr>
            </w:pPr>
            <w:r>
              <w:rPr>
                <w:spacing w:val="-4"/>
                <w:sz w:val="20"/>
              </w:rPr>
              <w:t>1,58</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6" w:line="223" w:lineRule="exact"/>
              <w:ind w:left="69"/>
              <w:jc w:val="left"/>
              <w:rPr>
                <w:sz w:val="20"/>
              </w:rPr>
            </w:pPr>
            <w:r>
              <w:rPr>
                <w:spacing w:val="-2"/>
                <w:sz w:val="20"/>
              </w:rPr>
              <w:t>5-</w:t>
            </w:r>
            <w:r>
              <w:rPr>
                <w:spacing w:val="-10"/>
                <w:sz w:val="20"/>
              </w:rPr>
              <w:t>10</w:t>
            </w:r>
          </w:p>
        </w:tc>
        <w:tc>
          <w:tcPr>
            <w:tcW w:w="806" w:type="dxa"/>
          </w:tcPr>
          <w:p w:rsidR="00080AA1" w:rsidRDefault="00080AA1" w:rsidP="0060584B">
            <w:pPr>
              <w:pStyle w:val="TableParagraph"/>
              <w:spacing w:before="56" w:line="223" w:lineRule="exact"/>
              <w:ind w:left="10"/>
              <w:rPr>
                <w:sz w:val="20"/>
              </w:rPr>
            </w:pPr>
            <w:r>
              <w:rPr>
                <w:spacing w:val="-4"/>
                <w:sz w:val="20"/>
              </w:rPr>
              <w:t>1,61</w:t>
            </w:r>
          </w:p>
        </w:tc>
        <w:tc>
          <w:tcPr>
            <w:tcW w:w="914" w:type="dxa"/>
          </w:tcPr>
          <w:p w:rsidR="00080AA1" w:rsidRDefault="00080AA1" w:rsidP="0060584B">
            <w:pPr>
              <w:pStyle w:val="TableParagraph"/>
              <w:spacing w:before="56" w:line="223" w:lineRule="exact"/>
              <w:ind w:left="8"/>
              <w:rPr>
                <w:sz w:val="20"/>
              </w:rPr>
            </w:pPr>
            <w:r>
              <w:rPr>
                <w:spacing w:val="-4"/>
                <w:sz w:val="20"/>
              </w:rPr>
              <w:t>1,64</w:t>
            </w:r>
          </w:p>
        </w:tc>
        <w:tc>
          <w:tcPr>
            <w:tcW w:w="917" w:type="dxa"/>
          </w:tcPr>
          <w:p w:rsidR="00080AA1" w:rsidRDefault="00080AA1" w:rsidP="0060584B">
            <w:pPr>
              <w:pStyle w:val="TableParagraph"/>
              <w:spacing w:before="56" w:line="223" w:lineRule="exact"/>
              <w:ind w:left="11"/>
              <w:rPr>
                <w:sz w:val="20"/>
              </w:rPr>
            </w:pPr>
            <w:r>
              <w:rPr>
                <w:spacing w:val="-4"/>
                <w:sz w:val="20"/>
              </w:rPr>
              <w:t>1,40</w:t>
            </w:r>
          </w:p>
        </w:tc>
        <w:tc>
          <w:tcPr>
            <w:tcW w:w="917" w:type="dxa"/>
          </w:tcPr>
          <w:p w:rsidR="00080AA1" w:rsidRDefault="00080AA1" w:rsidP="0060584B">
            <w:pPr>
              <w:pStyle w:val="TableParagraph"/>
              <w:spacing w:before="56" w:line="223" w:lineRule="exact"/>
              <w:ind w:left="11" w:right="5"/>
              <w:rPr>
                <w:sz w:val="20"/>
              </w:rPr>
            </w:pPr>
            <w:r>
              <w:rPr>
                <w:spacing w:val="-4"/>
                <w:sz w:val="20"/>
              </w:rPr>
              <w:t>1,42</w:t>
            </w:r>
          </w:p>
        </w:tc>
        <w:tc>
          <w:tcPr>
            <w:tcW w:w="675" w:type="dxa"/>
          </w:tcPr>
          <w:p w:rsidR="00080AA1" w:rsidRDefault="00080AA1" w:rsidP="0060584B">
            <w:pPr>
              <w:pStyle w:val="TableParagraph"/>
              <w:spacing w:before="56" w:line="223" w:lineRule="exact"/>
              <w:ind w:left="8"/>
              <w:rPr>
                <w:sz w:val="20"/>
              </w:rPr>
            </w:pPr>
            <w:r>
              <w:rPr>
                <w:spacing w:val="-4"/>
                <w:sz w:val="20"/>
              </w:rPr>
              <w:t>1,53</w:t>
            </w:r>
          </w:p>
        </w:tc>
        <w:tc>
          <w:tcPr>
            <w:tcW w:w="704" w:type="dxa"/>
          </w:tcPr>
          <w:p w:rsidR="00080AA1" w:rsidRDefault="00080AA1" w:rsidP="0060584B">
            <w:pPr>
              <w:pStyle w:val="TableParagraph"/>
              <w:spacing w:before="56" w:line="223" w:lineRule="exact"/>
              <w:ind w:left="10"/>
              <w:rPr>
                <w:sz w:val="20"/>
              </w:rPr>
            </w:pPr>
            <w:r>
              <w:rPr>
                <w:spacing w:val="-4"/>
                <w:sz w:val="20"/>
              </w:rPr>
              <w:t>1,56</w:t>
            </w:r>
          </w:p>
        </w:tc>
        <w:tc>
          <w:tcPr>
            <w:tcW w:w="1173" w:type="dxa"/>
          </w:tcPr>
          <w:p w:rsidR="00080AA1" w:rsidRDefault="00080AA1" w:rsidP="0060584B">
            <w:pPr>
              <w:pStyle w:val="TableParagraph"/>
              <w:spacing w:before="56" w:line="223" w:lineRule="exact"/>
              <w:ind w:left="6"/>
              <w:rPr>
                <w:sz w:val="20"/>
              </w:rPr>
            </w:pPr>
            <w:r>
              <w:rPr>
                <w:spacing w:val="-4"/>
                <w:sz w:val="20"/>
              </w:rPr>
              <w:t>1,67</w:t>
            </w:r>
          </w:p>
        </w:tc>
        <w:tc>
          <w:tcPr>
            <w:tcW w:w="877" w:type="dxa"/>
          </w:tcPr>
          <w:p w:rsidR="00080AA1" w:rsidRDefault="00080AA1" w:rsidP="0060584B">
            <w:pPr>
              <w:pStyle w:val="TableParagraph"/>
              <w:spacing w:before="56" w:line="223" w:lineRule="exact"/>
              <w:ind w:left="5"/>
              <w:rPr>
                <w:sz w:val="20"/>
              </w:rPr>
            </w:pPr>
            <w:r>
              <w:rPr>
                <w:spacing w:val="-4"/>
                <w:sz w:val="20"/>
              </w:rPr>
              <w:t>1,65</w:t>
            </w:r>
          </w:p>
        </w:tc>
        <w:tc>
          <w:tcPr>
            <w:tcW w:w="1139" w:type="dxa"/>
          </w:tcPr>
          <w:p w:rsidR="00080AA1" w:rsidRDefault="00080AA1" w:rsidP="0060584B">
            <w:pPr>
              <w:pStyle w:val="TableParagraph"/>
              <w:spacing w:before="56" w:line="223" w:lineRule="exact"/>
              <w:ind w:left="1"/>
              <w:rPr>
                <w:sz w:val="20"/>
              </w:rPr>
            </w:pPr>
            <w:r>
              <w:rPr>
                <w:spacing w:val="-4"/>
                <w:sz w:val="20"/>
              </w:rPr>
              <w:t>1,67</w:t>
            </w:r>
          </w:p>
        </w:tc>
        <w:tc>
          <w:tcPr>
            <w:tcW w:w="868" w:type="dxa"/>
          </w:tcPr>
          <w:p w:rsidR="00080AA1" w:rsidRDefault="00080AA1" w:rsidP="0060584B">
            <w:pPr>
              <w:pStyle w:val="TableParagraph"/>
              <w:spacing w:before="56" w:line="223" w:lineRule="exact"/>
              <w:ind w:left="1"/>
              <w:rPr>
                <w:sz w:val="20"/>
              </w:rPr>
            </w:pPr>
            <w:r>
              <w:rPr>
                <w:spacing w:val="-4"/>
                <w:sz w:val="20"/>
              </w:rPr>
              <w:t>1,56</w:t>
            </w:r>
          </w:p>
        </w:tc>
        <w:tc>
          <w:tcPr>
            <w:tcW w:w="841" w:type="dxa"/>
          </w:tcPr>
          <w:p w:rsidR="00080AA1" w:rsidRDefault="00080AA1" w:rsidP="0060584B">
            <w:pPr>
              <w:pStyle w:val="TableParagraph"/>
              <w:spacing w:before="56" w:line="223" w:lineRule="exact"/>
              <w:ind w:right="1"/>
              <w:rPr>
                <w:sz w:val="20"/>
              </w:rPr>
            </w:pPr>
            <w:r>
              <w:rPr>
                <w:spacing w:val="-4"/>
                <w:sz w:val="20"/>
              </w:rPr>
              <w:t>1,64</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6" w:line="224" w:lineRule="exact"/>
              <w:ind w:left="69"/>
              <w:jc w:val="left"/>
              <w:rPr>
                <w:sz w:val="20"/>
              </w:rPr>
            </w:pPr>
            <w:r>
              <w:rPr>
                <w:spacing w:val="-5"/>
                <w:sz w:val="20"/>
              </w:rPr>
              <w:t>+11</w:t>
            </w:r>
          </w:p>
        </w:tc>
        <w:tc>
          <w:tcPr>
            <w:tcW w:w="806" w:type="dxa"/>
          </w:tcPr>
          <w:p w:rsidR="00080AA1" w:rsidRDefault="00080AA1" w:rsidP="0060584B">
            <w:pPr>
              <w:pStyle w:val="TableParagraph"/>
              <w:spacing w:before="56" w:line="224" w:lineRule="exact"/>
              <w:ind w:left="10"/>
              <w:rPr>
                <w:sz w:val="20"/>
              </w:rPr>
            </w:pPr>
            <w:r>
              <w:rPr>
                <w:spacing w:val="-4"/>
                <w:sz w:val="20"/>
              </w:rPr>
              <w:t>2,02</w:t>
            </w:r>
          </w:p>
        </w:tc>
        <w:tc>
          <w:tcPr>
            <w:tcW w:w="914" w:type="dxa"/>
          </w:tcPr>
          <w:p w:rsidR="00080AA1" w:rsidRDefault="00080AA1" w:rsidP="0060584B">
            <w:pPr>
              <w:pStyle w:val="TableParagraph"/>
              <w:spacing w:before="56" w:line="224" w:lineRule="exact"/>
              <w:ind w:left="8"/>
              <w:rPr>
                <w:sz w:val="20"/>
              </w:rPr>
            </w:pPr>
            <w:r>
              <w:rPr>
                <w:spacing w:val="-4"/>
                <w:sz w:val="20"/>
              </w:rPr>
              <w:t>1,74</w:t>
            </w:r>
          </w:p>
        </w:tc>
        <w:tc>
          <w:tcPr>
            <w:tcW w:w="917" w:type="dxa"/>
          </w:tcPr>
          <w:p w:rsidR="00080AA1" w:rsidRDefault="00080AA1" w:rsidP="0060584B">
            <w:pPr>
              <w:pStyle w:val="TableParagraph"/>
              <w:spacing w:before="56" w:line="224" w:lineRule="exact"/>
              <w:ind w:left="11"/>
              <w:rPr>
                <w:sz w:val="20"/>
              </w:rPr>
            </w:pPr>
            <w:r>
              <w:rPr>
                <w:spacing w:val="-4"/>
                <w:sz w:val="20"/>
              </w:rPr>
              <w:t>1,48</w:t>
            </w:r>
          </w:p>
        </w:tc>
        <w:tc>
          <w:tcPr>
            <w:tcW w:w="917" w:type="dxa"/>
          </w:tcPr>
          <w:p w:rsidR="00080AA1" w:rsidRDefault="00080AA1" w:rsidP="0060584B">
            <w:pPr>
              <w:pStyle w:val="TableParagraph"/>
              <w:spacing w:before="56" w:line="224" w:lineRule="exact"/>
              <w:ind w:left="11" w:right="5"/>
              <w:rPr>
                <w:sz w:val="20"/>
              </w:rPr>
            </w:pPr>
            <w:r>
              <w:rPr>
                <w:spacing w:val="-4"/>
                <w:sz w:val="20"/>
              </w:rPr>
              <w:t>1,58</w:t>
            </w:r>
          </w:p>
        </w:tc>
        <w:tc>
          <w:tcPr>
            <w:tcW w:w="675" w:type="dxa"/>
          </w:tcPr>
          <w:p w:rsidR="00080AA1" w:rsidRDefault="00080AA1" w:rsidP="0060584B">
            <w:pPr>
              <w:pStyle w:val="TableParagraph"/>
              <w:spacing w:before="56" w:line="224" w:lineRule="exact"/>
              <w:ind w:left="8"/>
              <w:rPr>
                <w:sz w:val="20"/>
              </w:rPr>
            </w:pPr>
            <w:r>
              <w:rPr>
                <w:spacing w:val="-4"/>
                <w:sz w:val="20"/>
              </w:rPr>
              <w:t>1,66</w:t>
            </w:r>
          </w:p>
        </w:tc>
        <w:tc>
          <w:tcPr>
            <w:tcW w:w="704" w:type="dxa"/>
          </w:tcPr>
          <w:p w:rsidR="00080AA1" w:rsidRDefault="00080AA1" w:rsidP="0060584B">
            <w:pPr>
              <w:pStyle w:val="TableParagraph"/>
              <w:spacing w:before="56" w:line="224" w:lineRule="exact"/>
              <w:ind w:left="10"/>
              <w:rPr>
                <w:sz w:val="20"/>
              </w:rPr>
            </w:pPr>
            <w:r>
              <w:rPr>
                <w:spacing w:val="-4"/>
                <w:sz w:val="20"/>
              </w:rPr>
              <w:t>1,81</w:t>
            </w:r>
          </w:p>
        </w:tc>
        <w:tc>
          <w:tcPr>
            <w:tcW w:w="1173" w:type="dxa"/>
          </w:tcPr>
          <w:p w:rsidR="00080AA1" w:rsidRDefault="00080AA1" w:rsidP="0060584B">
            <w:pPr>
              <w:pStyle w:val="TableParagraph"/>
              <w:spacing w:before="56" w:line="224" w:lineRule="exact"/>
              <w:ind w:left="6"/>
              <w:rPr>
                <w:sz w:val="20"/>
              </w:rPr>
            </w:pPr>
            <w:r>
              <w:rPr>
                <w:spacing w:val="-4"/>
                <w:sz w:val="20"/>
              </w:rPr>
              <w:t>1,68</w:t>
            </w:r>
          </w:p>
        </w:tc>
        <w:tc>
          <w:tcPr>
            <w:tcW w:w="877" w:type="dxa"/>
          </w:tcPr>
          <w:p w:rsidR="00080AA1" w:rsidRDefault="00080AA1" w:rsidP="0060584B">
            <w:pPr>
              <w:pStyle w:val="TableParagraph"/>
              <w:spacing w:before="56" w:line="224" w:lineRule="exact"/>
              <w:ind w:left="5"/>
              <w:rPr>
                <w:sz w:val="20"/>
              </w:rPr>
            </w:pPr>
            <w:r>
              <w:rPr>
                <w:spacing w:val="-4"/>
                <w:sz w:val="20"/>
              </w:rPr>
              <w:t>1,74</w:t>
            </w:r>
          </w:p>
        </w:tc>
        <w:tc>
          <w:tcPr>
            <w:tcW w:w="1139" w:type="dxa"/>
          </w:tcPr>
          <w:p w:rsidR="00080AA1" w:rsidRDefault="00080AA1" w:rsidP="0060584B">
            <w:pPr>
              <w:pStyle w:val="TableParagraph"/>
              <w:spacing w:before="56" w:line="224" w:lineRule="exact"/>
              <w:ind w:left="1"/>
              <w:rPr>
                <w:sz w:val="20"/>
              </w:rPr>
            </w:pPr>
            <w:r>
              <w:rPr>
                <w:spacing w:val="-4"/>
                <w:sz w:val="20"/>
              </w:rPr>
              <w:t>2,02</w:t>
            </w:r>
          </w:p>
        </w:tc>
        <w:tc>
          <w:tcPr>
            <w:tcW w:w="868" w:type="dxa"/>
          </w:tcPr>
          <w:p w:rsidR="00080AA1" w:rsidRDefault="00080AA1" w:rsidP="0060584B">
            <w:pPr>
              <w:pStyle w:val="TableParagraph"/>
              <w:spacing w:before="56" w:line="224" w:lineRule="exact"/>
              <w:ind w:left="1"/>
              <w:rPr>
                <w:sz w:val="20"/>
              </w:rPr>
            </w:pPr>
            <w:r>
              <w:rPr>
                <w:spacing w:val="-4"/>
                <w:sz w:val="20"/>
              </w:rPr>
              <w:t>1,63</w:t>
            </w:r>
          </w:p>
        </w:tc>
        <w:tc>
          <w:tcPr>
            <w:tcW w:w="841" w:type="dxa"/>
          </w:tcPr>
          <w:p w:rsidR="00080AA1" w:rsidRDefault="00080AA1" w:rsidP="0060584B">
            <w:pPr>
              <w:pStyle w:val="TableParagraph"/>
              <w:spacing w:before="56" w:line="224" w:lineRule="exact"/>
              <w:ind w:right="1"/>
              <w:rPr>
                <w:sz w:val="20"/>
              </w:rPr>
            </w:pPr>
            <w:r>
              <w:rPr>
                <w:spacing w:val="-4"/>
                <w:sz w:val="20"/>
              </w:rPr>
              <w:t>1,63</w:t>
            </w:r>
          </w:p>
        </w:tc>
      </w:tr>
      <w:tr w:rsidR="00080AA1" w:rsidTr="0060584B">
        <w:trPr>
          <w:trHeight w:val="302"/>
        </w:trPr>
        <w:tc>
          <w:tcPr>
            <w:tcW w:w="1431" w:type="dxa"/>
            <w:vMerge w:val="restart"/>
            <w:vAlign w:val="center"/>
          </w:tcPr>
          <w:p w:rsidR="00080AA1" w:rsidRDefault="00080AA1" w:rsidP="0060584B">
            <w:pPr>
              <w:pStyle w:val="TableParagraph"/>
              <w:spacing w:line="240" w:lineRule="auto"/>
              <w:ind w:left="69"/>
              <w:jc w:val="left"/>
              <w:rPr>
                <w:b/>
                <w:sz w:val="20"/>
              </w:rPr>
            </w:pPr>
            <w:r>
              <w:rPr>
                <w:b/>
                <w:spacing w:val="-4"/>
                <w:sz w:val="20"/>
              </w:rPr>
              <w:t>Kind</w:t>
            </w:r>
          </w:p>
        </w:tc>
        <w:tc>
          <w:tcPr>
            <w:tcW w:w="2835" w:type="dxa"/>
          </w:tcPr>
          <w:p w:rsidR="00080AA1" w:rsidRDefault="00080AA1" w:rsidP="0060584B">
            <w:pPr>
              <w:pStyle w:val="TableParagraph"/>
              <w:spacing w:before="54"/>
              <w:ind w:left="69"/>
              <w:jc w:val="left"/>
              <w:rPr>
                <w:sz w:val="20"/>
              </w:rPr>
            </w:pPr>
            <w:r w:rsidRPr="00DD3060">
              <w:rPr>
                <w:sz w:val="20"/>
              </w:rPr>
              <w:t>Accounting firm</w:t>
            </w:r>
          </w:p>
        </w:tc>
        <w:tc>
          <w:tcPr>
            <w:tcW w:w="806" w:type="dxa"/>
          </w:tcPr>
          <w:p w:rsidR="00080AA1" w:rsidRDefault="00080AA1" w:rsidP="0060584B">
            <w:pPr>
              <w:pStyle w:val="TableParagraph"/>
              <w:spacing w:before="56"/>
              <w:ind w:left="10"/>
              <w:rPr>
                <w:sz w:val="20"/>
              </w:rPr>
            </w:pPr>
            <w:r>
              <w:rPr>
                <w:spacing w:val="-4"/>
                <w:sz w:val="20"/>
              </w:rPr>
              <w:t>1,84</w:t>
            </w:r>
          </w:p>
        </w:tc>
        <w:tc>
          <w:tcPr>
            <w:tcW w:w="914" w:type="dxa"/>
          </w:tcPr>
          <w:p w:rsidR="00080AA1" w:rsidRDefault="00080AA1" w:rsidP="0060584B">
            <w:pPr>
              <w:pStyle w:val="TableParagraph"/>
              <w:spacing w:before="56"/>
              <w:ind w:left="8"/>
              <w:rPr>
                <w:sz w:val="20"/>
              </w:rPr>
            </w:pPr>
            <w:r>
              <w:rPr>
                <w:spacing w:val="-4"/>
                <w:sz w:val="20"/>
              </w:rPr>
              <w:t>1,62</w:t>
            </w:r>
          </w:p>
        </w:tc>
        <w:tc>
          <w:tcPr>
            <w:tcW w:w="917" w:type="dxa"/>
          </w:tcPr>
          <w:p w:rsidR="00080AA1" w:rsidRDefault="00080AA1" w:rsidP="0060584B">
            <w:pPr>
              <w:pStyle w:val="TableParagraph"/>
              <w:spacing w:before="56"/>
              <w:ind w:left="11"/>
              <w:rPr>
                <w:sz w:val="20"/>
              </w:rPr>
            </w:pPr>
            <w:r>
              <w:rPr>
                <w:spacing w:val="-4"/>
                <w:sz w:val="20"/>
              </w:rPr>
              <w:t>1,57</w:t>
            </w:r>
          </w:p>
        </w:tc>
        <w:tc>
          <w:tcPr>
            <w:tcW w:w="917" w:type="dxa"/>
          </w:tcPr>
          <w:p w:rsidR="00080AA1" w:rsidRDefault="00080AA1" w:rsidP="0060584B">
            <w:pPr>
              <w:pStyle w:val="TableParagraph"/>
              <w:spacing w:before="56"/>
              <w:ind w:left="11" w:right="5"/>
              <w:rPr>
                <w:sz w:val="20"/>
              </w:rPr>
            </w:pPr>
            <w:r>
              <w:rPr>
                <w:spacing w:val="-4"/>
                <w:sz w:val="20"/>
              </w:rPr>
              <w:t>1,62</w:t>
            </w:r>
          </w:p>
        </w:tc>
        <w:tc>
          <w:tcPr>
            <w:tcW w:w="675" w:type="dxa"/>
          </w:tcPr>
          <w:p w:rsidR="00080AA1" w:rsidRDefault="00080AA1" w:rsidP="0060584B">
            <w:pPr>
              <w:pStyle w:val="TableParagraph"/>
              <w:spacing w:before="56"/>
              <w:ind w:left="8"/>
              <w:rPr>
                <w:sz w:val="20"/>
              </w:rPr>
            </w:pPr>
            <w:r>
              <w:rPr>
                <w:spacing w:val="-4"/>
                <w:sz w:val="20"/>
              </w:rPr>
              <w:t>1,53</w:t>
            </w:r>
          </w:p>
        </w:tc>
        <w:tc>
          <w:tcPr>
            <w:tcW w:w="704" w:type="dxa"/>
          </w:tcPr>
          <w:p w:rsidR="00080AA1" w:rsidRDefault="00080AA1" w:rsidP="0060584B">
            <w:pPr>
              <w:pStyle w:val="TableParagraph"/>
              <w:spacing w:before="56"/>
              <w:ind w:left="10"/>
              <w:rPr>
                <w:sz w:val="20"/>
              </w:rPr>
            </w:pPr>
            <w:r>
              <w:rPr>
                <w:spacing w:val="-4"/>
                <w:sz w:val="20"/>
              </w:rPr>
              <w:t>1,71</w:t>
            </w:r>
          </w:p>
        </w:tc>
        <w:tc>
          <w:tcPr>
            <w:tcW w:w="1173" w:type="dxa"/>
          </w:tcPr>
          <w:p w:rsidR="00080AA1" w:rsidRDefault="00080AA1" w:rsidP="0060584B">
            <w:pPr>
              <w:pStyle w:val="TableParagraph"/>
              <w:spacing w:before="56"/>
              <w:ind w:left="6"/>
              <w:rPr>
                <w:sz w:val="20"/>
              </w:rPr>
            </w:pPr>
            <w:r>
              <w:rPr>
                <w:spacing w:val="-4"/>
                <w:sz w:val="20"/>
              </w:rPr>
              <w:t>1,71</w:t>
            </w:r>
          </w:p>
        </w:tc>
        <w:tc>
          <w:tcPr>
            <w:tcW w:w="877" w:type="dxa"/>
          </w:tcPr>
          <w:p w:rsidR="00080AA1" w:rsidRDefault="00080AA1" w:rsidP="0060584B">
            <w:pPr>
              <w:pStyle w:val="TableParagraph"/>
              <w:spacing w:before="56"/>
              <w:ind w:left="5"/>
              <w:rPr>
                <w:sz w:val="20"/>
              </w:rPr>
            </w:pPr>
            <w:r>
              <w:rPr>
                <w:spacing w:val="-4"/>
                <w:sz w:val="20"/>
              </w:rPr>
              <w:t>1,62</w:t>
            </w:r>
          </w:p>
        </w:tc>
        <w:tc>
          <w:tcPr>
            <w:tcW w:w="1139" w:type="dxa"/>
          </w:tcPr>
          <w:p w:rsidR="00080AA1" w:rsidRDefault="00080AA1" w:rsidP="0060584B">
            <w:pPr>
              <w:pStyle w:val="TableParagraph"/>
              <w:spacing w:before="56"/>
              <w:ind w:left="1"/>
              <w:rPr>
                <w:sz w:val="20"/>
              </w:rPr>
            </w:pPr>
            <w:r>
              <w:rPr>
                <w:spacing w:val="-4"/>
                <w:sz w:val="20"/>
              </w:rPr>
              <w:t>1,84</w:t>
            </w:r>
          </w:p>
        </w:tc>
        <w:tc>
          <w:tcPr>
            <w:tcW w:w="868" w:type="dxa"/>
          </w:tcPr>
          <w:p w:rsidR="00080AA1" w:rsidRDefault="00080AA1" w:rsidP="0060584B">
            <w:pPr>
              <w:pStyle w:val="TableParagraph"/>
              <w:spacing w:before="56"/>
              <w:ind w:left="1"/>
              <w:rPr>
                <w:sz w:val="20"/>
              </w:rPr>
            </w:pPr>
            <w:r>
              <w:rPr>
                <w:spacing w:val="-4"/>
                <w:sz w:val="20"/>
              </w:rPr>
              <w:t>1,71</w:t>
            </w:r>
          </w:p>
        </w:tc>
        <w:tc>
          <w:tcPr>
            <w:tcW w:w="841" w:type="dxa"/>
          </w:tcPr>
          <w:p w:rsidR="00080AA1" w:rsidRDefault="00080AA1" w:rsidP="0060584B">
            <w:pPr>
              <w:pStyle w:val="TableParagraph"/>
              <w:spacing w:before="56"/>
              <w:ind w:right="1"/>
              <w:rPr>
                <w:sz w:val="20"/>
              </w:rPr>
            </w:pPr>
            <w:r>
              <w:rPr>
                <w:spacing w:val="-4"/>
                <w:sz w:val="20"/>
              </w:rPr>
              <w:t>1,62</w:t>
            </w:r>
          </w:p>
        </w:tc>
      </w:tr>
      <w:tr w:rsidR="00080AA1" w:rsidTr="0060584B">
        <w:trPr>
          <w:trHeight w:val="299"/>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4"/>
              <w:ind w:left="69"/>
              <w:jc w:val="left"/>
              <w:rPr>
                <w:sz w:val="20"/>
              </w:rPr>
            </w:pPr>
            <w:r>
              <w:rPr>
                <w:sz w:val="20"/>
              </w:rPr>
              <w:t>C</w:t>
            </w:r>
            <w:r w:rsidRPr="00DD3060">
              <w:rPr>
                <w:sz w:val="20"/>
              </w:rPr>
              <w:t>ivil service</w:t>
            </w:r>
          </w:p>
        </w:tc>
        <w:tc>
          <w:tcPr>
            <w:tcW w:w="806" w:type="dxa"/>
          </w:tcPr>
          <w:p w:rsidR="00080AA1" w:rsidRDefault="00080AA1" w:rsidP="0060584B">
            <w:pPr>
              <w:pStyle w:val="TableParagraph"/>
              <w:spacing w:before="54"/>
              <w:ind w:left="10"/>
              <w:rPr>
                <w:sz w:val="20"/>
              </w:rPr>
            </w:pPr>
            <w:r>
              <w:rPr>
                <w:spacing w:val="-4"/>
                <w:sz w:val="20"/>
              </w:rPr>
              <w:t>1,72</w:t>
            </w:r>
          </w:p>
        </w:tc>
        <w:tc>
          <w:tcPr>
            <w:tcW w:w="914" w:type="dxa"/>
          </w:tcPr>
          <w:p w:rsidR="00080AA1" w:rsidRDefault="00080AA1" w:rsidP="0060584B">
            <w:pPr>
              <w:pStyle w:val="TableParagraph"/>
              <w:spacing w:before="54"/>
              <w:ind w:left="8"/>
              <w:rPr>
                <w:sz w:val="20"/>
              </w:rPr>
            </w:pPr>
            <w:r>
              <w:rPr>
                <w:spacing w:val="-4"/>
                <w:sz w:val="20"/>
              </w:rPr>
              <w:t>1,55</w:t>
            </w:r>
          </w:p>
        </w:tc>
        <w:tc>
          <w:tcPr>
            <w:tcW w:w="917" w:type="dxa"/>
          </w:tcPr>
          <w:p w:rsidR="00080AA1" w:rsidRDefault="00080AA1" w:rsidP="0060584B">
            <w:pPr>
              <w:pStyle w:val="TableParagraph"/>
              <w:spacing w:before="54"/>
              <w:ind w:left="11"/>
              <w:rPr>
                <w:sz w:val="20"/>
              </w:rPr>
            </w:pPr>
            <w:r>
              <w:rPr>
                <w:spacing w:val="-4"/>
                <w:sz w:val="20"/>
              </w:rPr>
              <w:t>1,38</w:t>
            </w:r>
          </w:p>
        </w:tc>
        <w:tc>
          <w:tcPr>
            <w:tcW w:w="917" w:type="dxa"/>
          </w:tcPr>
          <w:p w:rsidR="00080AA1" w:rsidRDefault="00080AA1" w:rsidP="0060584B">
            <w:pPr>
              <w:pStyle w:val="TableParagraph"/>
              <w:spacing w:before="54"/>
              <w:ind w:left="11" w:right="5"/>
              <w:rPr>
                <w:sz w:val="20"/>
              </w:rPr>
            </w:pPr>
            <w:r>
              <w:rPr>
                <w:spacing w:val="-4"/>
                <w:sz w:val="20"/>
              </w:rPr>
              <w:t>1,46</w:t>
            </w:r>
          </w:p>
        </w:tc>
        <w:tc>
          <w:tcPr>
            <w:tcW w:w="675" w:type="dxa"/>
          </w:tcPr>
          <w:p w:rsidR="00080AA1" w:rsidRDefault="00080AA1" w:rsidP="0060584B">
            <w:pPr>
              <w:pStyle w:val="TableParagraph"/>
              <w:spacing w:before="54"/>
              <w:ind w:left="8"/>
              <w:rPr>
                <w:sz w:val="20"/>
              </w:rPr>
            </w:pPr>
            <w:r>
              <w:rPr>
                <w:spacing w:val="-4"/>
                <w:sz w:val="20"/>
              </w:rPr>
              <w:t>1,66</w:t>
            </w:r>
          </w:p>
        </w:tc>
        <w:tc>
          <w:tcPr>
            <w:tcW w:w="704" w:type="dxa"/>
          </w:tcPr>
          <w:p w:rsidR="00080AA1" w:rsidRDefault="00080AA1" w:rsidP="0060584B">
            <w:pPr>
              <w:pStyle w:val="TableParagraph"/>
              <w:spacing w:before="54"/>
              <w:ind w:left="10"/>
              <w:rPr>
                <w:sz w:val="20"/>
              </w:rPr>
            </w:pPr>
            <w:r>
              <w:rPr>
                <w:spacing w:val="-4"/>
                <w:sz w:val="20"/>
              </w:rPr>
              <w:t>1,71</w:t>
            </w:r>
          </w:p>
        </w:tc>
        <w:tc>
          <w:tcPr>
            <w:tcW w:w="1173" w:type="dxa"/>
          </w:tcPr>
          <w:p w:rsidR="00080AA1" w:rsidRDefault="00080AA1" w:rsidP="0060584B">
            <w:pPr>
              <w:pStyle w:val="TableParagraph"/>
              <w:spacing w:before="54"/>
              <w:ind w:left="6"/>
              <w:rPr>
                <w:sz w:val="20"/>
              </w:rPr>
            </w:pPr>
            <w:r>
              <w:rPr>
                <w:spacing w:val="-4"/>
                <w:sz w:val="20"/>
              </w:rPr>
              <w:t>1,61</w:t>
            </w:r>
          </w:p>
        </w:tc>
        <w:tc>
          <w:tcPr>
            <w:tcW w:w="877" w:type="dxa"/>
          </w:tcPr>
          <w:p w:rsidR="00080AA1" w:rsidRDefault="00080AA1" w:rsidP="0060584B">
            <w:pPr>
              <w:pStyle w:val="TableParagraph"/>
              <w:spacing w:before="54"/>
              <w:ind w:left="5"/>
              <w:rPr>
                <w:sz w:val="20"/>
              </w:rPr>
            </w:pPr>
            <w:r>
              <w:rPr>
                <w:spacing w:val="-4"/>
                <w:sz w:val="20"/>
              </w:rPr>
              <w:t>1,68</w:t>
            </w:r>
          </w:p>
        </w:tc>
        <w:tc>
          <w:tcPr>
            <w:tcW w:w="1139" w:type="dxa"/>
          </w:tcPr>
          <w:p w:rsidR="00080AA1" w:rsidRDefault="00080AA1" w:rsidP="0060584B">
            <w:pPr>
              <w:pStyle w:val="TableParagraph"/>
              <w:spacing w:before="54"/>
              <w:ind w:left="1"/>
              <w:rPr>
                <w:sz w:val="20"/>
              </w:rPr>
            </w:pPr>
            <w:r>
              <w:rPr>
                <w:spacing w:val="-4"/>
                <w:sz w:val="20"/>
              </w:rPr>
              <w:t>1,85</w:t>
            </w:r>
          </w:p>
        </w:tc>
        <w:tc>
          <w:tcPr>
            <w:tcW w:w="868" w:type="dxa"/>
          </w:tcPr>
          <w:p w:rsidR="00080AA1" w:rsidRDefault="00080AA1" w:rsidP="0060584B">
            <w:pPr>
              <w:pStyle w:val="TableParagraph"/>
              <w:spacing w:before="54"/>
              <w:ind w:left="1"/>
              <w:rPr>
                <w:sz w:val="20"/>
              </w:rPr>
            </w:pPr>
            <w:r>
              <w:rPr>
                <w:spacing w:val="-4"/>
                <w:sz w:val="20"/>
              </w:rPr>
              <w:t>1,57</w:t>
            </w:r>
          </w:p>
        </w:tc>
        <w:tc>
          <w:tcPr>
            <w:tcW w:w="841" w:type="dxa"/>
          </w:tcPr>
          <w:p w:rsidR="00080AA1" w:rsidRDefault="00080AA1" w:rsidP="0060584B">
            <w:pPr>
              <w:pStyle w:val="TableParagraph"/>
              <w:spacing w:before="54"/>
              <w:ind w:right="1"/>
              <w:rPr>
                <w:sz w:val="20"/>
              </w:rPr>
            </w:pPr>
            <w:r>
              <w:rPr>
                <w:spacing w:val="-4"/>
                <w:sz w:val="20"/>
              </w:rPr>
              <w:t>1,74</w:t>
            </w:r>
          </w:p>
        </w:tc>
      </w:tr>
      <w:tr w:rsidR="00080AA1" w:rsidTr="0060584B">
        <w:trPr>
          <w:trHeight w:val="325"/>
        </w:trPr>
        <w:tc>
          <w:tcPr>
            <w:tcW w:w="1431" w:type="dxa"/>
            <w:vMerge/>
            <w:tcBorders>
              <w:top w:val="nil"/>
            </w:tcBorders>
            <w:vAlign w:val="center"/>
          </w:tcPr>
          <w:p w:rsidR="00080AA1" w:rsidRDefault="00080AA1" w:rsidP="0060584B">
            <w:pPr>
              <w:rPr>
                <w:sz w:val="2"/>
                <w:szCs w:val="2"/>
              </w:rPr>
            </w:pPr>
          </w:p>
        </w:tc>
        <w:tc>
          <w:tcPr>
            <w:tcW w:w="2835" w:type="dxa"/>
          </w:tcPr>
          <w:p w:rsidR="00080AA1" w:rsidRDefault="00080AA1" w:rsidP="0060584B">
            <w:pPr>
              <w:pStyle w:val="TableParagraph"/>
              <w:spacing w:before="54" w:line="230" w:lineRule="atLeast"/>
              <w:ind w:left="69"/>
              <w:jc w:val="left"/>
              <w:rPr>
                <w:sz w:val="20"/>
              </w:rPr>
            </w:pPr>
            <w:r>
              <w:rPr>
                <w:sz w:val="20"/>
              </w:rPr>
              <w:t>P</w:t>
            </w:r>
            <w:r w:rsidRPr="00DD3060">
              <w:rPr>
                <w:sz w:val="20"/>
              </w:rPr>
              <w:t>rivate organization</w:t>
            </w:r>
          </w:p>
        </w:tc>
        <w:tc>
          <w:tcPr>
            <w:tcW w:w="806" w:type="dxa"/>
          </w:tcPr>
          <w:p w:rsidR="00080AA1" w:rsidRDefault="00080AA1" w:rsidP="0060584B">
            <w:pPr>
              <w:pStyle w:val="TableParagraph"/>
              <w:spacing w:before="54" w:line="240" w:lineRule="auto"/>
              <w:ind w:left="68"/>
              <w:rPr>
                <w:sz w:val="20"/>
              </w:rPr>
            </w:pPr>
            <w:r>
              <w:rPr>
                <w:spacing w:val="-4"/>
                <w:sz w:val="20"/>
              </w:rPr>
              <w:t>1,86</w:t>
            </w:r>
          </w:p>
        </w:tc>
        <w:tc>
          <w:tcPr>
            <w:tcW w:w="914" w:type="dxa"/>
          </w:tcPr>
          <w:p w:rsidR="00080AA1" w:rsidRDefault="00080AA1" w:rsidP="0060584B">
            <w:pPr>
              <w:pStyle w:val="TableParagraph"/>
              <w:spacing w:before="54" w:line="240" w:lineRule="auto"/>
              <w:ind w:left="68"/>
              <w:rPr>
                <w:sz w:val="20"/>
              </w:rPr>
            </w:pPr>
            <w:r>
              <w:rPr>
                <w:spacing w:val="-4"/>
                <w:sz w:val="20"/>
              </w:rPr>
              <w:t>1,67</w:t>
            </w:r>
          </w:p>
        </w:tc>
        <w:tc>
          <w:tcPr>
            <w:tcW w:w="917" w:type="dxa"/>
          </w:tcPr>
          <w:p w:rsidR="00080AA1" w:rsidRDefault="00080AA1" w:rsidP="0060584B">
            <w:pPr>
              <w:pStyle w:val="TableParagraph"/>
              <w:spacing w:before="54" w:line="240" w:lineRule="auto"/>
              <w:ind w:left="68"/>
              <w:rPr>
                <w:sz w:val="20"/>
              </w:rPr>
            </w:pPr>
            <w:r>
              <w:rPr>
                <w:spacing w:val="-4"/>
                <w:sz w:val="20"/>
              </w:rPr>
              <w:t>1,46</w:t>
            </w:r>
          </w:p>
        </w:tc>
        <w:tc>
          <w:tcPr>
            <w:tcW w:w="917" w:type="dxa"/>
          </w:tcPr>
          <w:p w:rsidR="00080AA1" w:rsidRDefault="00080AA1" w:rsidP="0060584B">
            <w:pPr>
              <w:pStyle w:val="TableParagraph"/>
              <w:spacing w:before="54" w:line="240" w:lineRule="auto"/>
              <w:ind w:left="68"/>
              <w:rPr>
                <w:sz w:val="20"/>
              </w:rPr>
            </w:pPr>
            <w:r>
              <w:rPr>
                <w:spacing w:val="-4"/>
                <w:sz w:val="20"/>
              </w:rPr>
              <w:t>1,48</w:t>
            </w:r>
          </w:p>
        </w:tc>
        <w:tc>
          <w:tcPr>
            <w:tcW w:w="675" w:type="dxa"/>
          </w:tcPr>
          <w:p w:rsidR="00080AA1" w:rsidRDefault="00080AA1" w:rsidP="0060584B">
            <w:pPr>
              <w:pStyle w:val="TableParagraph"/>
              <w:spacing w:before="54" w:line="240" w:lineRule="auto"/>
              <w:ind w:left="68"/>
              <w:rPr>
                <w:sz w:val="20"/>
              </w:rPr>
            </w:pPr>
            <w:r>
              <w:rPr>
                <w:spacing w:val="-4"/>
                <w:sz w:val="20"/>
              </w:rPr>
              <w:t>1,57</w:t>
            </w:r>
          </w:p>
        </w:tc>
        <w:tc>
          <w:tcPr>
            <w:tcW w:w="704" w:type="dxa"/>
          </w:tcPr>
          <w:p w:rsidR="00080AA1" w:rsidRDefault="00080AA1" w:rsidP="0060584B">
            <w:pPr>
              <w:pStyle w:val="TableParagraph"/>
              <w:spacing w:before="54" w:line="240" w:lineRule="auto"/>
              <w:ind w:left="68"/>
              <w:rPr>
                <w:sz w:val="20"/>
              </w:rPr>
            </w:pPr>
            <w:r>
              <w:rPr>
                <w:spacing w:val="-4"/>
                <w:sz w:val="20"/>
              </w:rPr>
              <w:t>1,62</w:t>
            </w:r>
          </w:p>
        </w:tc>
        <w:tc>
          <w:tcPr>
            <w:tcW w:w="1173" w:type="dxa"/>
          </w:tcPr>
          <w:p w:rsidR="00080AA1" w:rsidRDefault="00080AA1" w:rsidP="0060584B">
            <w:pPr>
              <w:pStyle w:val="TableParagraph"/>
              <w:spacing w:before="54" w:line="240" w:lineRule="auto"/>
              <w:ind w:left="68"/>
              <w:rPr>
                <w:sz w:val="20"/>
              </w:rPr>
            </w:pPr>
            <w:r>
              <w:rPr>
                <w:spacing w:val="-4"/>
                <w:sz w:val="20"/>
              </w:rPr>
              <w:t>1,78</w:t>
            </w:r>
          </w:p>
        </w:tc>
        <w:tc>
          <w:tcPr>
            <w:tcW w:w="877" w:type="dxa"/>
          </w:tcPr>
          <w:p w:rsidR="00080AA1" w:rsidRDefault="00080AA1" w:rsidP="0060584B">
            <w:pPr>
              <w:pStyle w:val="TableParagraph"/>
              <w:spacing w:before="54" w:line="240" w:lineRule="auto"/>
              <w:ind w:left="68"/>
              <w:rPr>
                <w:sz w:val="20"/>
              </w:rPr>
            </w:pPr>
            <w:r>
              <w:rPr>
                <w:spacing w:val="-4"/>
                <w:sz w:val="20"/>
              </w:rPr>
              <w:t>1,65</w:t>
            </w:r>
          </w:p>
        </w:tc>
        <w:tc>
          <w:tcPr>
            <w:tcW w:w="1139" w:type="dxa"/>
          </w:tcPr>
          <w:p w:rsidR="00080AA1" w:rsidRDefault="00080AA1" w:rsidP="0060584B">
            <w:pPr>
              <w:pStyle w:val="TableParagraph"/>
              <w:spacing w:before="54" w:line="240" w:lineRule="auto"/>
              <w:ind w:left="68"/>
              <w:rPr>
                <w:sz w:val="20"/>
              </w:rPr>
            </w:pPr>
            <w:r>
              <w:rPr>
                <w:spacing w:val="-4"/>
                <w:sz w:val="20"/>
              </w:rPr>
              <w:t>2,01</w:t>
            </w:r>
          </w:p>
        </w:tc>
        <w:tc>
          <w:tcPr>
            <w:tcW w:w="868" w:type="dxa"/>
          </w:tcPr>
          <w:p w:rsidR="00080AA1" w:rsidRDefault="00080AA1" w:rsidP="0060584B">
            <w:pPr>
              <w:pStyle w:val="TableParagraph"/>
              <w:spacing w:before="54" w:line="240" w:lineRule="auto"/>
              <w:ind w:left="68"/>
              <w:rPr>
                <w:sz w:val="20"/>
              </w:rPr>
            </w:pPr>
            <w:r>
              <w:rPr>
                <w:spacing w:val="-4"/>
                <w:sz w:val="20"/>
              </w:rPr>
              <w:t>1,43</w:t>
            </w:r>
          </w:p>
        </w:tc>
        <w:tc>
          <w:tcPr>
            <w:tcW w:w="841" w:type="dxa"/>
          </w:tcPr>
          <w:p w:rsidR="00080AA1" w:rsidRDefault="00080AA1" w:rsidP="0060584B">
            <w:pPr>
              <w:pStyle w:val="TableParagraph"/>
              <w:spacing w:before="54" w:line="240" w:lineRule="auto"/>
              <w:ind w:left="68"/>
              <w:rPr>
                <w:sz w:val="20"/>
              </w:rPr>
            </w:pPr>
            <w:r>
              <w:rPr>
                <w:spacing w:val="-4"/>
                <w:sz w:val="20"/>
              </w:rPr>
              <w:t>1,48</w:t>
            </w:r>
          </w:p>
        </w:tc>
      </w:tr>
      <w:tr w:rsidR="00080AA1" w:rsidTr="0060584B">
        <w:trPr>
          <w:trHeight w:val="299"/>
        </w:trPr>
        <w:tc>
          <w:tcPr>
            <w:tcW w:w="1431" w:type="dxa"/>
            <w:vMerge w:val="restart"/>
            <w:vAlign w:val="center"/>
          </w:tcPr>
          <w:p w:rsidR="00080AA1" w:rsidRDefault="00080AA1" w:rsidP="0060584B">
            <w:pPr>
              <w:pStyle w:val="TableParagraph"/>
              <w:spacing w:line="240" w:lineRule="auto"/>
              <w:ind w:left="69"/>
              <w:jc w:val="left"/>
              <w:rPr>
                <w:b/>
                <w:sz w:val="20"/>
              </w:rPr>
            </w:pPr>
            <w:r w:rsidRPr="00DD3060">
              <w:rPr>
                <w:b/>
                <w:spacing w:val="-2"/>
                <w:sz w:val="20"/>
              </w:rPr>
              <w:t>Awareness</w:t>
            </w:r>
            <w:r>
              <w:rPr>
                <w:b/>
                <w:spacing w:val="-2"/>
                <w:sz w:val="20"/>
              </w:rPr>
              <w:t xml:space="preserve"> CSR</w:t>
            </w:r>
          </w:p>
        </w:tc>
        <w:tc>
          <w:tcPr>
            <w:tcW w:w="2835" w:type="dxa"/>
          </w:tcPr>
          <w:p w:rsidR="00080AA1" w:rsidRDefault="00080AA1" w:rsidP="0060584B">
            <w:pPr>
              <w:pStyle w:val="TableParagraph"/>
              <w:spacing w:before="56" w:line="223" w:lineRule="exact"/>
              <w:ind w:left="69"/>
              <w:jc w:val="left"/>
              <w:rPr>
                <w:sz w:val="20"/>
              </w:rPr>
            </w:pPr>
            <w:r>
              <w:rPr>
                <w:spacing w:val="-5"/>
                <w:sz w:val="20"/>
              </w:rPr>
              <w:t>No</w:t>
            </w:r>
          </w:p>
        </w:tc>
        <w:tc>
          <w:tcPr>
            <w:tcW w:w="806" w:type="dxa"/>
          </w:tcPr>
          <w:p w:rsidR="00080AA1" w:rsidRDefault="00080AA1" w:rsidP="0060584B">
            <w:pPr>
              <w:pStyle w:val="TableParagraph"/>
              <w:spacing w:before="56" w:line="223" w:lineRule="exact"/>
              <w:ind w:left="10"/>
              <w:rPr>
                <w:sz w:val="20"/>
              </w:rPr>
            </w:pPr>
            <w:r>
              <w:rPr>
                <w:spacing w:val="-4"/>
                <w:sz w:val="20"/>
              </w:rPr>
              <w:t>1,63</w:t>
            </w:r>
          </w:p>
        </w:tc>
        <w:tc>
          <w:tcPr>
            <w:tcW w:w="914" w:type="dxa"/>
          </w:tcPr>
          <w:p w:rsidR="00080AA1" w:rsidRDefault="00080AA1" w:rsidP="0060584B">
            <w:pPr>
              <w:pStyle w:val="TableParagraph"/>
              <w:spacing w:before="56" w:line="223" w:lineRule="exact"/>
              <w:ind w:left="8"/>
              <w:rPr>
                <w:sz w:val="20"/>
              </w:rPr>
            </w:pPr>
            <w:r>
              <w:rPr>
                <w:spacing w:val="-4"/>
                <w:sz w:val="20"/>
              </w:rPr>
              <w:t>1,56</w:t>
            </w:r>
          </w:p>
        </w:tc>
        <w:tc>
          <w:tcPr>
            <w:tcW w:w="917" w:type="dxa"/>
          </w:tcPr>
          <w:p w:rsidR="00080AA1" w:rsidRDefault="00080AA1" w:rsidP="0060584B">
            <w:pPr>
              <w:pStyle w:val="TableParagraph"/>
              <w:spacing w:before="56" w:line="223" w:lineRule="exact"/>
              <w:ind w:left="11"/>
              <w:rPr>
                <w:sz w:val="20"/>
              </w:rPr>
            </w:pPr>
            <w:r>
              <w:rPr>
                <w:spacing w:val="-4"/>
                <w:sz w:val="20"/>
              </w:rPr>
              <w:t>1,41</w:t>
            </w:r>
          </w:p>
        </w:tc>
        <w:tc>
          <w:tcPr>
            <w:tcW w:w="917" w:type="dxa"/>
          </w:tcPr>
          <w:p w:rsidR="00080AA1" w:rsidRDefault="00080AA1" w:rsidP="0060584B">
            <w:pPr>
              <w:pStyle w:val="TableParagraph"/>
              <w:spacing w:before="56" w:line="223" w:lineRule="exact"/>
              <w:ind w:left="11" w:right="5"/>
              <w:rPr>
                <w:sz w:val="20"/>
              </w:rPr>
            </w:pPr>
            <w:r>
              <w:rPr>
                <w:spacing w:val="-4"/>
                <w:sz w:val="20"/>
              </w:rPr>
              <w:t>1,38</w:t>
            </w:r>
          </w:p>
        </w:tc>
        <w:tc>
          <w:tcPr>
            <w:tcW w:w="675" w:type="dxa"/>
          </w:tcPr>
          <w:p w:rsidR="00080AA1" w:rsidRDefault="00080AA1" w:rsidP="0060584B">
            <w:pPr>
              <w:pStyle w:val="TableParagraph"/>
              <w:spacing w:before="56" w:line="223" w:lineRule="exact"/>
              <w:ind w:left="8"/>
              <w:rPr>
                <w:sz w:val="20"/>
              </w:rPr>
            </w:pPr>
            <w:r>
              <w:rPr>
                <w:spacing w:val="-4"/>
                <w:sz w:val="20"/>
              </w:rPr>
              <w:t>1,58</w:t>
            </w:r>
          </w:p>
        </w:tc>
        <w:tc>
          <w:tcPr>
            <w:tcW w:w="704" w:type="dxa"/>
          </w:tcPr>
          <w:p w:rsidR="00080AA1" w:rsidRDefault="00080AA1" w:rsidP="0060584B">
            <w:pPr>
              <w:pStyle w:val="TableParagraph"/>
              <w:spacing w:before="56" w:line="223" w:lineRule="exact"/>
              <w:ind w:left="10"/>
              <w:rPr>
                <w:sz w:val="20"/>
              </w:rPr>
            </w:pPr>
            <w:r>
              <w:rPr>
                <w:spacing w:val="-4"/>
                <w:sz w:val="20"/>
              </w:rPr>
              <w:t>1,45</w:t>
            </w:r>
          </w:p>
        </w:tc>
        <w:tc>
          <w:tcPr>
            <w:tcW w:w="1173" w:type="dxa"/>
          </w:tcPr>
          <w:p w:rsidR="00080AA1" w:rsidRDefault="00080AA1" w:rsidP="0060584B">
            <w:pPr>
              <w:pStyle w:val="TableParagraph"/>
              <w:spacing w:before="56" w:line="223" w:lineRule="exact"/>
              <w:ind w:left="6"/>
              <w:rPr>
                <w:sz w:val="20"/>
              </w:rPr>
            </w:pPr>
            <w:r>
              <w:rPr>
                <w:spacing w:val="-4"/>
                <w:sz w:val="20"/>
              </w:rPr>
              <w:t>1,63</w:t>
            </w:r>
          </w:p>
        </w:tc>
        <w:tc>
          <w:tcPr>
            <w:tcW w:w="877" w:type="dxa"/>
          </w:tcPr>
          <w:p w:rsidR="00080AA1" w:rsidRDefault="00080AA1" w:rsidP="0060584B">
            <w:pPr>
              <w:pStyle w:val="TableParagraph"/>
              <w:spacing w:before="56" w:line="223" w:lineRule="exact"/>
              <w:ind w:left="5"/>
              <w:rPr>
                <w:sz w:val="20"/>
              </w:rPr>
            </w:pPr>
            <w:r>
              <w:rPr>
                <w:spacing w:val="-4"/>
                <w:sz w:val="20"/>
              </w:rPr>
              <w:t>1,58</w:t>
            </w:r>
          </w:p>
        </w:tc>
        <w:tc>
          <w:tcPr>
            <w:tcW w:w="1139" w:type="dxa"/>
          </w:tcPr>
          <w:p w:rsidR="00080AA1" w:rsidRDefault="00080AA1" w:rsidP="0060584B">
            <w:pPr>
              <w:pStyle w:val="TableParagraph"/>
              <w:spacing w:before="56" w:line="223" w:lineRule="exact"/>
              <w:ind w:left="1"/>
              <w:rPr>
                <w:sz w:val="20"/>
              </w:rPr>
            </w:pPr>
            <w:r>
              <w:rPr>
                <w:spacing w:val="-4"/>
                <w:sz w:val="20"/>
              </w:rPr>
              <w:t>1,81</w:t>
            </w:r>
          </w:p>
        </w:tc>
        <w:tc>
          <w:tcPr>
            <w:tcW w:w="868" w:type="dxa"/>
          </w:tcPr>
          <w:p w:rsidR="00080AA1" w:rsidRDefault="00080AA1" w:rsidP="0060584B">
            <w:pPr>
              <w:pStyle w:val="TableParagraph"/>
              <w:spacing w:before="56" w:line="223" w:lineRule="exact"/>
              <w:ind w:left="1"/>
              <w:rPr>
                <w:sz w:val="20"/>
              </w:rPr>
            </w:pPr>
            <w:r>
              <w:rPr>
                <w:spacing w:val="-4"/>
                <w:sz w:val="20"/>
              </w:rPr>
              <w:t>1,45</w:t>
            </w:r>
          </w:p>
        </w:tc>
        <w:tc>
          <w:tcPr>
            <w:tcW w:w="841" w:type="dxa"/>
          </w:tcPr>
          <w:p w:rsidR="00080AA1" w:rsidRDefault="00080AA1" w:rsidP="0060584B">
            <w:pPr>
              <w:pStyle w:val="TableParagraph"/>
              <w:spacing w:before="56" w:line="223" w:lineRule="exact"/>
              <w:ind w:right="1"/>
              <w:rPr>
                <w:sz w:val="20"/>
              </w:rPr>
            </w:pPr>
            <w:r>
              <w:rPr>
                <w:spacing w:val="-4"/>
                <w:sz w:val="20"/>
              </w:rPr>
              <w:t>1,58</w:t>
            </w:r>
          </w:p>
        </w:tc>
      </w:tr>
      <w:tr w:rsidR="00080AA1" w:rsidTr="0060584B">
        <w:trPr>
          <w:trHeight w:val="299"/>
        </w:trPr>
        <w:tc>
          <w:tcPr>
            <w:tcW w:w="1431" w:type="dxa"/>
            <w:vMerge/>
            <w:vAlign w:val="center"/>
          </w:tcPr>
          <w:p w:rsidR="00080AA1" w:rsidRDefault="00080AA1" w:rsidP="0060584B">
            <w:pPr>
              <w:pStyle w:val="TableParagraph"/>
              <w:spacing w:line="240" w:lineRule="auto"/>
              <w:ind w:left="69"/>
              <w:jc w:val="left"/>
              <w:rPr>
                <w:b/>
                <w:sz w:val="20"/>
              </w:rPr>
            </w:pPr>
          </w:p>
        </w:tc>
        <w:tc>
          <w:tcPr>
            <w:tcW w:w="2835" w:type="dxa"/>
          </w:tcPr>
          <w:p w:rsidR="00080AA1" w:rsidRDefault="00080AA1" w:rsidP="0060584B">
            <w:pPr>
              <w:pStyle w:val="TableParagraph"/>
              <w:spacing w:before="34" w:line="240" w:lineRule="auto"/>
              <w:ind w:left="69"/>
              <w:jc w:val="left"/>
              <w:rPr>
                <w:sz w:val="20"/>
              </w:rPr>
            </w:pPr>
            <w:r>
              <w:rPr>
                <w:sz w:val="20"/>
              </w:rPr>
              <w:t>Yes</w:t>
            </w:r>
          </w:p>
        </w:tc>
        <w:tc>
          <w:tcPr>
            <w:tcW w:w="806" w:type="dxa"/>
          </w:tcPr>
          <w:p w:rsidR="00080AA1" w:rsidRDefault="00080AA1" w:rsidP="0060584B">
            <w:pPr>
              <w:pStyle w:val="TableParagraph"/>
              <w:spacing w:before="34" w:line="240" w:lineRule="auto"/>
              <w:ind w:left="10"/>
              <w:rPr>
                <w:sz w:val="20"/>
              </w:rPr>
            </w:pPr>
            <w:r>
              <w:rPr>
                <w:spacing w:val="-4"/>
                <w:sz w:val="20"/>
              </w:rPr>
              <w:t>1,86</w:t>
            </w:r>
          </w:p>
        </w:tc>
        <w:tc>
          <w:tcPr>
            <w:tcW w:w="914" w:type="dxa"/>
          </w:tcPr>
          <w:p w:rsidR="00080AA1" w:rsidRDefault="00080AA1" w:rsidP="0060584B">
            <w:pPr>
              <w:pStyle w:val="TableParagraph"/>
              <w:spacing w:before="34" w:line="240" w:lineRule="auto"/>
              <w:ind w:left="8"/>
              <w:rPr>
                <w:sz w:val="20"/>
              </w:rPr>
            </w:pPr>
            <w:r>
              <w:rPr>
                <w:spacing w:val="-4"/>
                <w:sz w:val="20"/>
              </w:rPr>
              <w:t>1,72</w:t>
            </w:r>
          </w:p>
        </w:tc>
        <w:tc>
          <w:tcPr>
            <w:tcW w:w="917" w:type="dxa"/>
          </w:tcPr>
          <w:p w:rsidR="00080AA1" w:rsidRDefault="00080AA1" w:rsidP="0060584B">
            <w:pPr>
              <w:pStyle w:val="TableParagraph"/>
              <w:spacing w:before="34" w:line="240" w:lineRule="auto"/>
              <w:ind w:left="11"/>
              <w:rPr>
                <w:sz w:val="20"/>
              </w:rPr>
            </w:pPr>
            <w:r>
              <w:rPr>
                <w:spacing w:val="-4"/>
                <w:sz w:val="20"/>
              </w:rPr>
              <w:t>1,51</w:t>
            </w:r>
          </w:p>
        </w:tc>
        <w:tc>
          <w:tcPr>
            <w:tcW w:w="917" w:type="dxa"/>
          </w:tcPr>
          <w:p w:rsidR="00080AA1" w:rsidRDefault="00080AA1" w:rsidP="0060584B">
            <w:pPr>
              <w:pStyle w:val="TableParagraph"/>
              <w:spacing w:before="34" w:line="240" w:lineRule="auto"/>
              <w:ind w:left="11" w:right="5"/>
              <w:rPr>
                <w:sz w:val="20"/>
              </w:rPr>
            </w:pPr>
            <w:r>
              <w:rPr>
                <w:spacing w:val="-4"/>
                <w:sz w:val="20"/>
              </w:rPr>
              <w:t>1,60</w:t>
            </w:r>
          </w:p>
        </w:tc>
        <w:tc>
          <w:tcPr>
            <w:tcW w:w="675" w:type="dxa"/>
          </w:tcPr>
          <w:p w:rsidR="00080AA1" w:rsidRDefault="00080AA1" w:rsidP="0060584B">
            <w:pPr>
              <w:pStyle w:val="TableParagraph"/>
              <w:spacing w:before="34" w:line="240" w:lineRule="auto"/>
              <w:ind w:left="8"/>
              <w:rPr>
                <w:sz w:val="20"/>
              </w:rPr>
            </w:pPr>
            <w:r>
              <w:rPr>
                <w:spacing w:val="-4"/>
                <w:sz w:val="20"/>
              </w:rPr>
              <w:t>1,62</w:t>
            </w:r>
          </w:p>
        </w:tc>
        <w:tc>
          <w:tcPr>
            <w:tcW w:w="704" w:type="dxa"/>
          </w:tcPr>
          <w:p w:rsidR="00080AA1" w:rsidRDefault="00080AA1" w:rsidP="0060584B">
            <w:pPr>
              <w:pStyle w:val="TableParagraph"/>
              <w:spacing w:before="34" w:line="240" w:lineRule="auto"/>
              <w:ind w:left="10"/>
              <w:rPr>
                <w:sz w:val="20"/>
              </w:rPr>
            </w:pPr>
            <w:r>
              <w:rPr>
                <w:spacing w:val="-4"/>
                <w:sz w:val="20"/>
              </w:rPr>
              <w:t>1,82</w:t>
            </w:r>
          </w:p>
        </w:tc>
        <w:tc>
          <w:tcPr>
            <w:tcW w:w="1173" w:type="dxa"/>
          </w:tcPr>
          <w:p w:rsidR="00080AA1" w:rsidRDefault="00080AA1" w:rsidP="0060584B">
            <w:pPr>
              <w:pStyle w:val="TableParagraph"/>
              <w:spacing w:before="34" w:line="240" w:lineRule="auto"/>
              <w:ind w:left="6"/>
              <w:rPr>
                <w:sz w:val="20"/>
              </w:rPr>
            </w:pPr>
            <w:r>
              <w:rPr>
                <w:spacing w:val="-4"/>
                <w:sz w:val="20"/>
              </w:rPr>
              <w:t>1,81</w:t>
            </w:r>
          </w:p>
        </w:tc>
        <w:tc>
          <w:tcPr>
            <w:tcW w:w="877" w:type="dxa"/>
          </w:tcPr>
          <w:p w:rsidR="00080AA1" w:rsidRDefault="00080AA1" w:rsidP="0060584B">
            <w:pPr>
              <w:pStyle w:val="TableParagraph"/>
              <w:spacing w:before="34" w:line="240" w:lineRule="auto"/>
              <w:ind w:left="5"/>
              <w:rPr>
                <w:sz w:val="20"/>
              </w:rPr>
            </w:pPr>
            <w:r>
              <w:rPr>
                <w:spacing w:val="-4"/>
                <w:sz w:val="20"/>
              </w:rPr>
              <w:t>1,73</w:t>
            </w:r>
          </w:p>
        </w:tc>
        <w:tc>
          <w:tcPr>
            <w:tcW w:w="1139" w:type="dxa"/>
          </w:tcPr>
          <w:p w:rsidR="00080AA1" w:rsidRDefault="00080AA1" w:rsidP="0060584B">
            <w:pPr>
              <w:pStyle w:val="TableParagraph"/>
              <w:spacing w:before="34" w:line="240" w:lineRule="auto"/>
              <w:ind w:left="1"/>
              <w:rPr>
                <w:sz w:val="20"/>
              </w:rPr>
            </w:pPr>
            <w:r>
              <w:rPr>
                <w:spacing w:val="-4"/>
                <w:sz w:val="20"/>
              </w:rPr>
              <w:t>2,02</w:t>
            </w:r>
          </w:p>
        </w:tc>
        <w:tc>
          <w:tcPr>
            <w:tcW w:w="868" w:type="dxa"/>
          </w:tcPr>
          <w:p w:rsidR="00080AA1" w:rsidRDefault="00080AA1" w:rsidP="0060584B">
            <w:pPr>
              <w:pStyle w:val="TableParagraph"/>
              <w:spacing w:before="34" w:line="240" w:lineRule="auto"/>
              <w:ind w:left="1"/>
              <w:rPr>
                <w:sz w:val="20"/>
              </w:rPr>
            </w:pPr>
            <w:r>
              <w:rPr>
                <w:spacing w:val="-4"/>
                <w:sz w:val="20"/>
              </w:rPr>
              <w:t>1,61</w:t>
            </w:r>
          </w:p>
        </w:tc>
        <w:tc>
          <w:tcPr>
            <w:tcW w:w="841" w:type="dxa"/>
          </w:tcPr>
          <w:p w:rsidR="00080AA1" w:rsidRDefault="00080AA1" w:rsidP="0060584B">
            <w:pPr>
              <w:pStyle w:val="TableParagraph"/>
              <w:spacing w:before="34" w:line="240" w:lineRule="auto"/>
              <w:ind w:right="1"/>
              <w:rPr>
                <w:sz w:val="20"/>
              </w:rPr>
            </w:pPr>
            <w:r>
              <w:rPr>
                <w:spacing w:val="-4"/>
                <w:sz w:val="20"/>
              </w:rPr>
              <w:t>1,71</w:t>
            </w:r>
          </w:p>
        </w:tc>
      </w:tr>
      <w:tr w:rsidR="00080AA1" w:rsidTr="0060584B">
        <w:trPr>
          <w:trHeight w:val="299"/>
        </w:trPr>
        <w:tc>
          <w:tcPr>
            <w:tcW w:w="1431" w:type="dxa"/>
            <w:vMerge w:val="restart"/>
            <w:vAlign w:val="center"/>
          </w:tcPr>
          <w:p w:rsidR="00080AA1" w:rsidRDefault="00080AA1" w:rsidP="0060584B">
            <w:pPr>
              <w:pStyle w:val="TableParagraph"/>
              <w:spacing w:before="74" w:line="240" w:lineRule="auto"/>
              <w:ind w:left="69"/>
              <w:jc w:val="left"/>
              <w:rPr>
                <w:b/>
                <w:sz w:val="20"/>
              </w:rPr>
            </w:pPr>
            <w:r>
              <w:rPr>
                <w:b/>
                <w:spacing w:val="-2"/>
                <w:sz w:val="20"/>
              </w:rPr>
              <w:t xml:space="preserve">Formalization </w:t>
            </w:r>
            <w:r>
              <w:rPr>
                <w:b/>
                <w:spacing w:val="-4"/>
                <w:sz w:val="20"/>
              </w:rPr>
              <w:t>CSR</w:t>
            </w:r>
          </w:p>
        </w:tc>
        <w:tc>
          <w:tcPr>
            <w:tcW w:w="2835" w:type="dxa"/>
          </w:tcPr>
          <w:p w:rsidR="00080AA1" w:rsidRDefault="00080AA1" w:rsidP="0060584B">
            <w:pPr>
              <w:pStyle w:val="TableParagraph"/>
              <w:spacing w:before="34" w:line="240" w:lineRule="auto"/>
              <w:ind w:left="69"/>
              <w:jc w:val="left"/>
              <w:rPr>
                <w:sz w:val="20"/>
              </w:rPr>
            </w:pPr>
            <w:r>
              <w:rPr>
                <w:spacing w:val="-5"/>
                <w:sz w:val="20"/>
              </w:rPr>
              <w:t>No</w:t>
            </w:r>
          </w:p>
        </w:tc>
        <w:tc>
          <w:tcPr>
            <w:tcW w:w="806" w:type="dxa"/>
          </w:tcPr>
          <w:p w:rsidR="00080AA1" w:rsidRDefault="00080AA1" w:rsidP="0060584B">
            <w:pPr>
              <w:pStyle w:val="TableParagraph"/>
              <w:spacing w:before="34" w:line="240" w:lineRule="auto"/>
              <w:ind w:left="10"/>
              <w:rPr>
                <w:sz w:val="20"/>
              </w:rPr>
            </w:pPr>
            <w:r>
              <w:rPr>
                <w:spacing w:val="-4"/>
                <w:sz w:val="20"/>
              </w:rPr>
              <w:t>1,57</w:t>
            </w:r>
          </w:p>
        </w:tc>
        <w:tc>
          <w:tcPr>
            <w:tcW w:w="914" w:type="dxa"/>
          </w:tcPr>
          <w:p w:rsidR="00080AA1" w:rsidRDefault="00080AA1" w:rsidP="0060584B">
            <w:pPr>
              <w:pStyle w:val="TableParagraph"/>
              <w:spacing w:before="34" w:line="240" w:lineRule="auto"/>
              <w:ind w:left="8"/>
              <w:rPr>
                <w:sz w:val="20"/>
              </w:rPr>
            </w:pPr>
            <w:r>
              <w:rPr>
                <w:spacing w:val="-4"/>
                <w:sz w:val="20"/>
              </w:rPr>
              <w:t>1,48</w:t>
            </w:r>
          </w:p>
        </w:tc>
        <w:tc>
          <w:tcPr>
            <w:tcW w:w="917" w:type="dxa"/>
          </w:tcPr>
          <w:p w:rsidR="00080AA1" w:rsidRDefault="00080AA1" w:rsidP="0060584B">
            <w:pPr>
              <w:pStyle w:val="TableParagraph"/>
              <w:spacing w:before="34" w:line="240" w:lineRule="auto"/>
              <w:ind w:left="11"/>
              <w:rPr>
                <w:sz w:val="20"/>
              </w:rPr>
            </w:pPr>
            <w:r>
              <w:rPr>
                <w:spacing w:val="-4"/>
                <w:sz w:val="20"/>
              </w:rPr>
              <w:t>1,41</w:t>
            </w:r>
          </w:p>
        </w:tc>
        <w:tc>
          <w:tcPr>
            <w:tcW w:w="917" w:type="dxa"/>
          </w:tcPr>
          <w:p w:rsidR="00080AA1" w:rsidRDefault="00080AA1" w:rsidP="0060584B">
            <w:pPr>
              <w:pStyle w:val="TableParagraph"/>
              <w:spacing w:before="34" w:line="240" w:lineRule="auto"/>
              <w:ind w:left="11" w:right="5"/>
              <w:rPr>
                <w:sz w:val="20"/>
              </w:rPr>
            </w:pPr>
            <w:r>
              <w:rPr>
                <w:spacing w:val="-4"/>
                <w:sz w:val="20"/>
              </w:rPr>
              <w:t>1,46</w:t>
            </w:r>
          </w:p>
        </w:tc>
        <w:tc>
          <w:tcPr>
            <w:tcW w:w="675" w:type="dxa"/>
          </w:tcPr>
          <w:p w:rsidR="00080AA1" w:rsidRDefault="00080AA1" w:rsidP="0060584B">
            <w:pPr>
              <w:pStyle w:val="TableParagraph"/>
              <w:spacing w:before="34" w:line="240" w:lineRule="auto"/>
              <w:ind w:left="8"/>
              <w:rPr>
                <w:sz w:val="20"/>
              </w:rPr>
            </w:pPr>
            <w:r>
              <w:rPr>
                <w:spacing w:val="-4"/>
                <w:sz w:val="20"/>
              </w:rPr>
              <w:t>1,41</w:t>
            </w:r>
          </w:p>
        </w:tc>
        <w:tc>
          <w:tcPr>
            <w:tcW w:w="704" w:type="dxa"/>
          </w:tcPr>
          <w:p w:rsidR="00080AA1" w:rsidRDefault="00080AA1" w:rsidP="0060584B">
            <w:pPr>
              <w:pStyle w:val="TableParagraph"/>
              <w:spacing w:before="34" w:line="240" w:lineRule="auto"/>
              <w:ind w:left="10"/>
              <w:rPr>
                <w:sz w:val="20"/>
              </w:rPr>
            </w:pPr>
            <w:r>
              <w:rPr>
                <w:spacing w:val="-4"/>
                <w:sz w:val="20"/>
              </w:rPr>
              <w:t>1,46</w:t>
            </w:r>
          </w:p>
        </w:tc>
        <w:tc>
          <w:tcPr>
            <w:tcW w:w="1173" w:type="dxa"/>
          </w:tcPr>
          <w:p w:rsidR="00080AA1" w:rsidRDefault="00080AA1" w:rsidP="0060584B">
            <w:pPr>
              <w:pStyle w:val="TableParagraph"/>
              <w:spacing w:before="34" w:line="240" w:lineRule="auto"/>
              <w:ind w:left="6"/>
              <w:rPr>
                <w:sz w:val="20"/>
              </w:rPr>
            </w:pPr>
            <w:r>
              <w:rPr>
                <w:spacing w:val="-4"/>
                <w:sz w:val="20"/>
              </w:rPr>
              <w:t>1,56</w:t>
            </w:r>
          </w:p>
        </w:tc>
        <w:tc>
          <w:tcPr>
            <w:tcW w:w="877" w:type="dxa"/>
          </w:tcPr>
          <w:p w:rsidR="00080AA1" w:rsidRDefault="00080AA1" w:rsidP="0060584B">
            <w:pPr>
              <w:pStyle w:val="TableParagraph"/>
              <w:spacing w:before="34" w:line="240" w:lineRule="auto"/>
              <w:ind w:left="5"/>
              <w:rPr>
                <w:sz w:val="20"/>
              </w:rPr>
            </w:pPr>
            <w:r>
              <w:rPr>
                <w:spacing w:val="-4"/>
                <w:sz w:val="20"/>
              </w:rPr>
              <w:t>1,43</w:t>
            </w:r>
          </w:p>
        </w:tc>
        <w:tc>
          <w:tcPr>
            <w:tcW w:w="1139" w:type="dxa"/>
          </w:tcPr>
          <w:p w:rsidR="00080AA1" w:rsidRDefault="00080AA1" w:rsidP="0060584B">
            <w:pPr>
              <w:pStyle w:val="TableParagraph"/>
              <w:spacing w:before="34" w:line="240" w:lineRule="auto"/>
              <w:ind w:left="1"/>
              <w:rPr>
                <w:sz w:val="20"/>
              </w:rPr>
            </w:pPr>
            <w:r>
              <w:rPr>
                <w:spacing w:val="-4"/>
                <w:sz w:val="20"/>
              </w:rPr>
              <w:t>1,71</w:t>
            </w:r>
          </w:p>
        </w:tc>
        <w:tc>
          <w:tcPr>
            <w:tcW w:w="868" w:type="dxa"/>
          </w:tcPr>
          <w:p w:rsidR="00080AA1" w:rsidRDefault="00080AA1" w:rsidP="0060584B">
            <w:pPr>
              <w:pStyle w:val="TableParagraph"/>
              <w:spacing w:before="34" w:line="240" w:lineRule="auto"/>
              <w:ind w:left="1"/>
              <w:rPr>
                <w:sz w:val="20"/>
              </w:rPr>
            </w:pPr>
            <w:r>
              <w:rPr>
                <w:spacing w:val="-4"/>
                <w:sz w:val="20"/>
              </w:rPr>
              <w:t>1,42</w:t>
            </w:r>
          </w:p>
        </w:tc>
        <w:tc>
          <w:tcPr>
            <w:tcW w:w="841" w:type="dxa"/>
          </w:tcPr>
          <w:p w:rsidR="00080AA1" w:rsidRDefault="00080AA1" w:rsidP="0060584B">
            <w:pPr>
              <w:pStyle w:val="TableParagraph"/>
              <w:spacing w:before="34" w:line="240" w:lineRule="auto"/>
              <w:ind w:right="1"/>
              <w:rPr>
                <w:sz w:val="20"/>
              </w:rPr>
            </w:pPr>
            <w:r>
              <w:rPr>
                <w:spacing w:val="-4"/>
                <w:sz w:val="20"/>
              </w:rPr>
              <w:t>1,52</w:t>
            </w:r>
          </w:p>
        </w:tc>
      </w:tr>
      <w:tr w:rsidR="00080AA1" w:rsidTr="0060584B">
        <w:trPr>
          <w:trHeight w:val="299"/>
        </w:trPr>
        <w:tc>
          <w:tcPr>
            <w:tcW w:w="1431" w:type="dxa"/>
            <w:vMerge/>
            <w:tcBorders>
              <w:top w:val="nil"/>
            </w:tcBorders>
          </w:tcPr>
          <w:p w:rsidR="00080AA1" w:rsidRDefault="00080AA1" w:rsidP="0060584B">
            <w:pPr>
              <w:rPr>
                <w:sz w:val="2"/>
                <w:szCs w:val="2"/>
              </w:rPr>
            </w:pPr>
          </w:p>
        </w:tc>
        <w:tc>
          <w:tcPr>
            <w:tcW w:w="2835" w:type="dxa"/>
          </w:tcPr>
          <w:p w:rsidR="00080AA1" w:rsidRDefault="00080AA1" w:rsidP="0060584B">
            <w:pPr>
              <w:pStyle w:val="TableParagraph"/>
              <w:spacing w:before="36" w:line="240" w:lineRule="auto"/>
              <w:ind w:left="69"/>
              <w:jc w:val="left"/>
              <w:rPr>
                <w:sz w:val="20"/>
              </w:rPr>
            </w:pPr>
            <w:r>
              <w:rPr>
                <w:spacing w:val="-5"/>
                <w:sz w:val="20"/>
              </w:rPr>
              <w:t>Yes</w:t>
            </w:r>
          </w:p>
        </w:tc>
        <w:tc>
          <w:tcPr>
            <w:tcW w:w="806" w:type="dxa"/>
          </w:tcPr>
          <w:p w:rsidR="00080AA1" w:rsidRDefault="00080AA1" w:rsidP="0060584B">
            <w:pPr>
              <w:pStyle w:val="TableParagraph"/>
              <w:spacing w:before="36" w:line="240" w:lineRule="auto"/>
              <w:ind w:left="10"/>
              <w:rPr>
                <w:sz w:val="20"/>
              </w:rPr>
            </w:pPr>
            <w:r>
              <w:rPr>
                <w:spacing w:val="-4"/>
                <w:sz w:val="20"/>
              </w:rPr>
              <w:t>2,26</w:t>
            </w:r>
          </w:p>
        </w:tc>
        <w:tc>
          <w:tcPr>
            <w:tcW w:w="914" w:type="dxa"/>
          </w:tcPr>
          <w:p w:rsidR="00080AA1" w:rsidRDefault="00080AA1" w:rsidP="0060584B">
            <w:pPr>
              <w:pStyle w:val="TableParagraph"/>
              <w:spacing w:before="36" w:line="240" w:lineRule="auto"/>
              <w:ind w:left="8"/>
              <w:rPr>
                <w:sz w:val="20"/>
              </w:rPr>
            </w:pPr>
            <w:r>
              <w:rPr>
                <w:spacing w:val="-4"/>
                <w:sz w:val="20"/>
              </w:rPr>
              <w:t>2,10</w:t>
            </w:r>
          </w:p>
        </w:tc>
        <w:tc>
          <w:tcPr>
            <w:tcW w:w="917" w:type="dxa"/>
          </w:tcPr>
          <w:p w:rsidR="00080AA1" w:rsidRDefault="00080AA1" w:rsidP="0060584B">
            <w:pPr>
              <w:pStyle w:val="TableParagraph"/>
              <w:spacing w:before="36" w:line="240" w:lineRule="auto"/>
              <w:ind w:left="11"/>
              <w:rPr>
                <w:sz w:val="20"/>
              </w:rPr>
            </w:pPr>
            <w:r>
              <w:rPr>
                <w:spacing w:val="-4"/>
                <w:sz w:val="20"/>
              </w:rPr>
              <w:t>1,65</w:t>
            </w:r>
          </w:p>
        </w:tc>
        <w:tc>
          <w:tcPr>
            <w:tcW w:w="917" w:type="dxa"/>
          </w:tcPr>
          <w:p w:rsidR="00080AA1" w:rsidRDefault="00080AA1" w:rsidP="0060584B">
            <w:pPr>
              <w:pStyle w:val="TableParagraph"/>
              <w:spacing w:before="36" w:line="240" w:lineRule="auto"/>
              <w:ind w:left="11" w:right="5"/>
              <w:rPr>
                <w:sz w:val="20"/>
              </w:rPr>
            </w:pPr>
            <w:r>
              <w:rPr>
                <w:spacing w:val="-4"/>
                <w:sz w:val="20"/>
              </w:rPr>
              <w:t>1,65</w:t>
            </w:r>
          </w:p>
        </w:tc>
        <w:tc>
          <w:tcPr>
            <w:tcW w:w="675" w:type="dxa"/>
          </w:tcPr>
          <w:p w:rsidR="00080AA1" w:rsidRDefault="00080AA1" w:rsidP="0060584B">
            <w:pPr>
              <w:pStyle w:val="TableParagraph"/>
              <w:spacing w:before="36" w:line="240" w:lineRule="auto"/>
              <w:ind w:left="8"/>
              <w:rPr>
                <w:sz w:val="20"/>
              </w:rPr>
            </w:pPr>
            <w:r>
              <w:rPr>
                <w:spacing w:val="-4"/>
                <w:sz w:val="20"/>
              </w:rPr>
              <w:t>2,05</w:t>
            </w:r>
          </w:p>
        </w:tc>
        <w:tc>
          <w:tcPr>
            <w:tcW w:w="704" w:type="dxa"/>
          </w:tcPr>
          <w:p w:rsidR="00080AA1" w:rsidRDefault="00080AA1" w:rsidP="0060584B">
            <w:pPr>
              <w:pStyle w:val="TableParagraph"/>
              <w:spacing w:before="36" w:line="240" w:lineRule="auto"/>
              <w:ind w:left="10"/>
              <w:rPr>
                <w:sz w:val="20"/>
              </w:rPr>
            </w:pPr>
            <w:r>
              <w:rPr>
                <w:spacing w:val="-4"/>
                <w:sz w:val="20"/>
              </w:rPr>
              <w:t>2,23</w:t>
            </w:r>
          </w:p>
        </w:tc>
        <w:tc>
          <w:tcPr>
            <w:tcW w:w="1173" w:type="dxa"/>
          </w:tcPr>
          <w:p w:rsidR="00080AA1" w:rsidRDefault="00080AA1" w:rsidP="0060584B">
            <w:pPr>
              <w:pStyle w:val="TableParagraph"/>
              <w:spacing w:before="36" w:line="240" w:lineRule="auto"/>
              <w:ind w:left="6"/>
              <w:rPr>
                <w:sz w:val="20"/>
              </w:rPr>
            </w:pPr>
            <w:r>
              <w:rPr>
                <w:spacing w:val="-4"/>
                <w:sz w:val="20"/>
              </w:rPr>
              <w:t>2,13</w:t>
            </w:r>
          </w:p>
        </w:tc>
        <w:tc>
          <w:tcPr>
            <w:tcW w:w="877" w:type="dxa"/>
          </w:tcPr>
          <w:p w:rsidR="00080AA1" w:rsidRDefault="00080AA1" w:rsidP="0060584B">
            <w:pPr>
              <w:pStyle w:val="TableParagraph"/>
              <w:spacing w:before="36" w:line="240" w:lineRule="auto"/>
              <w:ind w:left="5"/>
              <w:rPr>
                <w:sz w:val="20"/>
              </w:rPr>
            </w:pPr>
            <w:r>
              <w:rPr>
                <w:spacing w:val="-4"/>
                <w:sz w:val="20"/>
              </w:rPr>
              <w:t>2,23</w:t>
            </w:r>
          </w:p>
        </w:tc>
        <w:tc>
          <w:tcPr>
            <w:tcW w:w="1139" w:type="dxa"/>
          </w:tcPr>
          <w:p w:rsidR="00080AA1" w:rsidRDefault="00080AA1" w:rsidP="0060584B">
            <w:pPr>
              <w:pStyle w:val="TableParagraph"/>
              <w:spacing w:before="36" w:line="240" w:lineRule="auto"/>
              <w:ind w:left="1"/>
              <w:rPr>
                <w:sz w:val="20"/>
              </w:rPr>
            </w:pPr>
            <w:r>
              <w:rPr>
                <w:spacing w:val="-4"/>
                <w:sz w:val="20"/>
              </w:rPr>
              <w:t>2,33</w:t>
            </w:r>
          </w:p>
        </w:tc>
        <w:tc>
          <w:tcPr>
            <w:tcW w:w="868" w:type="dxa"/>
          </w:tcPr>
          <w:p w:rsidR="00080AA1" w:rsidRDefault="00080AA1" w:rsidP="0060584B">
            <w:pPr>
              <w:pStyle w:val="TableParagraph"/>
              <w:spacing w:before="36" w:line="240" w:lineRule="auto"/>
              <w:ind w:left="1"/>
              <w:rPr>
                <w:sz w:val="20"/>
              </w:rPr>
            </w:pPr>
            <w:r>
              <w:rPr>
                <w:spacing w:val="-4"/>
                <w:sz w:val="20"/>
              </w:rPr>
              <w:t>1,82</w:t>
            </w:r>
          </w:p>
        </w:tc>
        <w:tc>
          <w:tcPr>
            <w:tcW w:w="841" w:type="dxa"/>
          </w:tcPr>
          <w:p w:rsidR="00080AA1" w:rsidRDefault="00080AA1" w:rsidP="0060584B">
            <w:pPr>
              <w:pStyle w:val="TableParagraph"/>
              <w:spacing w:before="36" w:line="240" w:lineRule="auto"/>
              <w:ind w:right="1"/>
              <w:rPr>
                <w:sz w:val="20"/>
              </w:rPr>
            </w:pPr>
            <w:r>
              <w:rPr>
                <w:spacing w:val="-4"/>
                <w:sz w:val="20"/>
              </w:rPr>
              <w:t>2,09</w:t>
            </w:r>
          </w:p>
        </w:tc>
      </w:tr>
    </w:tbl>
    <w:p w:rsidR="00080AA1" w:rsidRDefault="00080AA1" w:rsidP="00080AA1">
      <w:pPr>
        <w:rPr>
          <w:sz w:val="20"/>
        </w:rPr>
        <w:sectPr w:rsidR="00080AA1" w:rsidSect="00CC1B30">
          <w:headerReference w:type="default" r:id="rId13"/>
          <w:footerReference w:type="default" r:id="rId14"/>
          <w:pgSz w:w="16840" w:h="11910" w:orient="landscape"/>
          <w:pgMar w:top="1400" w:right="520" w:bottom="2020" w:left="1280" w:header="730" w:footer="1417" w:gutter="0"/>
          <w:cols w:space="720"/>
          <w:docGrid w:linePitch="299"/>
        </w:sectPr>
      </w:pPr>
    </w:p>
    <w:p w:rsidR="00080AA1" w:rsidRPr="000D4DCD" w:rsidRDefault="00080AA1" w:rsidP="00080AA1">
      <w:pPr>
        <w:pStyle w:val="Corpsdetexte"/>
        <w:spacing w:line="360" w:lineRule="auto"/>
        <w:ind w:left="0" w:right="4"/>
        <w:rPr>
          <w:lang w:val="en-US"/>
        </w:rPr>
      </w:pPr>
      <w:r w:rsidRPr="000D4DCD">
        <w:rPr>
          <w:lang w:val="en-US"/>
        </w:rPr>
        <w:lastRenderedPageBreak/>
        <w:t>In conclusion, the results reveal that all the scores obtained are below 3, regardless of the factor considered, indicating a limited use of environmental management tools, regardless of the sociological criteria analyzed. However, a slight positive trend is observed among respondents under 30 years of age, those with less than one year of seniority, as well as those working in private organizations or in structures that have formalized corporate social responsibility (CSR), with scores overall above 2. These potential effects would deserve to be examined in more depth through replication studies to confirm these trends (Jones et al., 2020; Adams &amp; Larrinaga, 2021).</w:t>
      </w:r>
    </w:p>
    <w:p w:rsidR="00080AA1" w:rsidRPr="000D4DCD" w:rsidRDefault="00080AA1" w:rsidP="00080AA1">
      <w:pPr>
        <w:pStyle w:val="Corpsdetexte"/>
        <w:spacing w:line="360" w:lineRule="auto"/>
        <w:ind w:left="0"/>
        <w:rPr>
          <w:lang w:val="en-US"/>
        </w:rPr>
      </w:pPr>
      <w:r w:rsidRPr="000D4DCD">
        <w:rPr>
          <w:lang w:val="en-US"/>
        </w:rPr>
        <w:t>Indeed, this study reveals that although Tunisianaccountants display a generally positive attitude towards environmental accounting issues, the majority of them make very little use of environmental accounting and management control tools, such as environmental management standards, life cycle analysis, environmental dashboards, environmental audit standards and environmental balance sheet. Among these tools, “physical flow accounting” is the most frequently used, with 25% of respondents adopting it, while eco-design standards are used by only 8% of respondents. Further studies will be needed to examine the reasons behind this relatively higher adoption of physical flow accounting, taking into account the increasing impact of international regulations and practices in environmental accounting.</w:t>
      </w:r>
    </w:p>
    <w:p w:rsidR="00080AA1" w:rsidRPr="000D4DCD" w:rsidRDefault="00080AA1" w:rsidP="00080AA1">
      <w:pPr>
        <w:pStyle w:val="Corpsdetexte"/>
        <w:spacing w:line="360" w:lineRule="auto"/>
        <w:ind w:left="0"/>
        <w:jc w:val="left"/>
        <w:rPr>
          <w:lang w:val="en-US"/>
        </w:rPr>
      </w:pPr>
    </w:p>
    <w:p w:rsidR="00080AA1" w:rsidRDefault="00080AA1" w:rsidP="00080AA1">
      <w:pPr>
        <w:pStyle w:val="Titre1"/>
        <w:tabs>
          <w:tab w:val="left" w:pos="284"/>
        </w:tabs>
        <w:spacing w:line="360" w:lineRule="auto"/>
      </w:pPr>
      <w:r>
        <w:rPr>
          <w:spacing w:val="-2"/>
        </w:rPr>
        <w:t>4-Discussion</w:t>
      </w:r>
    </w:p>
    <w:p w:rsidR="00080AA1" w:rsidRPr="000D4DCD" w:rsidRDefault="00080AA1" w:rsidP="00080AA1">
      <w:pPr>
        <w:pStyle w:val="Titre1"/>
        <w:spacing w:line="360" w:lineRule="auto"/>
        <w:ind w:left="0"/>
        <w:rPr>
          <w:b w:val="0"/>
          <w:bCs w:val="0"/>
          <w:lang w:val="en-US"/>
        </w:rPr>
      </w:pPr>
      <w:r w:rsidRPr="000D4DCD">
        <w:rPr>
          <w:b w:val="0"/>
          <w:bCs w:val="0"/>
          <w:lang w:val="en-US"/>
        </w:rPr>
        <w:t xml:space="preserve">Following this study, a clear difference appears between the responses of Tunisianaccountants and those of Anglo-Saxon accountants in the Bebbington et al. </w:t>
      </w:r>
      <w:r w:rsidRPr="009F2031">
        <w:rPr>
          <w:b w:val="0"/>
          <w:bCs w:val="0"/>
        </w:rPr>
        <w:t xml:space="preserve">(1994) study with regard to excuses and regulation. </w:t>
      </w:r>
      <w:r w:rsidRPr="000D4DCD">
        <w:rPr>
          <w:b w:val="0"/>
          <w:bCs w:val="0"/>
          <w:lang w:val="en-US"/>
        </w:rPr>
        <w:t>While Anglo-Saxon accountants show low scores for excuses and regulation, Tunisianaccountants show higher scores on these two themes. In analyzing their results, Bebbington et al. (1994) had noted an apparent contradiction: Anglo-Saxon accountants seem open to change (low scores for excuses) but reluctant to regulation in environmental accounting (low scores for regulation). This contradiction is found among Tunisianaccountants, but in an inverse manner: they are both opposed to change (high scores for excuses) and in favor of new regulation in environmental accounting (high scores for regulation).</w:t>
      </w:r>
    </w:p>
    <w:p w:rsidR="00080AA1" w:rsidRPr="000D4DCD" w:rsidRDefault="00080AA1" w:rsidP="00080AA1">
      <w:pPr>
        <w:pStyle w:val="Titre1"/>
        <w:spacing w:line="360" w:lineRule="auto"/>
        <w:ind w:left="0"/>
        <w:rPr>
          <w:b w:val="0"/>
          <w:bCs w:val="0"/>
          <w:lang w:val="en-US"/>
        </w:rPr>
      </w:pPr>
      <w:r w:rsidRPr="000D4DCD">
        <w:rPr>
          <w:b w:val="0"/>
          <w:bCs w:val="0"/>
          <w:lang w:val="en-US"/>
        </w:rPr>
        <w:t xml:space="preserve">Unlike the Bebbington et al. sample. (1994), where scores for the other two themes (role of third parties and role of accountants) were relatively low, Tunisianaccountants show high </w:t>
      </w:r>
      <w:r w:rsidRPr="000D4DCD">
        <w:rPr>
          <w:b w:val="0"/>
          <w:bCs w:val="0"/>
          <w:lang w:val="en-US"/>
        </w:rPr>
        <w:lastRenderedPageBreak/>
        <w:t>scores for these two aspects. This reinforces the idea that Tunisianaccountants have a positive perception of their role and environmental issues. This study, the first of its kind in the Tunisiancontext, confirms the findings of work carried out in developed countries (Bebbington et al., 2021; Adams &amp; Larrinaga, 2021) and in developing countries (Kuasirikun, 2021; Lodhia, 2020). Unlike previous studies, this contribution is the first to simultaneously measure perceptions and use of environmental accounting tools, while assessing the influence of sociological factors.</w:t>
      </w:r>
    </w:p>
    <w:p w:rsidR="00080AA1" w:rsidRPr="000D4DCD" w:rsidRDefault="00080AA1" w:rsidP="00080AA1">
      <w:pPr>
        <w:pStyle w:val="Titre1"/>
        <w:spacing w:line="360" w:lineRule="auto"/>
        <w:ind w:left="0"/>
        <w:rPr>
          <w:b w:val="0"/>
          <w:bCs w:val="0"/>
          <w:lang w:val="en-US"/>
        </w:rPr>
      </w:pPr>
      <w:r w:rsidRPr="000D4DCD">
        <w:rPr>
          <w:b w:val="0"/>
          <w:bCs w:val="0"/>
          <w:lang w:val="en-US"/>
        </w:rPr>
        <w:t>However, like previous research, this study suffers from the lack of a theoretical analysis explaining the low use of environmental accounting tools despite overall positive perceptions. It is relevant to ask whether accountants really take environmental issues into account in their practices. Are these issues among their priorities, or are they relegated to the background compared to other issues, such as poverty in developing countries (Weick, 1976)? It would also be interesting to establish a hierarchy of concerns of Tunisianaccountants.</w:t>
      </w:r>
    </w:p>
    <w:p w:rsidR="00080AA1" w:rsidRPr="000D4DCD" w:rsidRDefault="00080AA1" w:rsidP="00080AA1">
      <w:pPr>
        <w:pStyle w:val="Titre1"/>
        <w:spacing w:line="360" w:lineRule="auto"/>
        <w:ind w:left="0"/>
        <w:rPr>
          <w:b w:val="0"/>
          <w:bCs w:val="0"/>
          <w:lang w:val="en-US"/>
        </w:rPr>
      </w:pPr>
      <w:r w:rsidRPr="000D4DCD">
        <w:rPr>
          <w:b w:val="0"/>
          <w:bCs w:val="0"/>
          <w:lang w:val="en-US"/>
        </w:rPr>
        <w:t>Furthermore, it is possible that the lack of knowledge of environmental accounting tools partly explains this low adoption. Although environmental issues are gaining in importance, they often remain on the fringes of accountants' daily concerns. This highlights the need to integrate the accounting and financial consequences of economic activities on the environment into traditional financial statements, as advocated by Adams and Larrinaga (2021) and Richard (2012) with his concept of "accounting adapted to the renewal of the environment" (CARE). The move towards standardization of environmental accounting rules would force organizations to reflect these impacts in their accounts, although this would entail additional costs, particularly in terms of accountants' time and the renewal of natural and human capital (Christ &amp; Burritt, 2021).</w:t>
      </w:r>
    </w:p>
    <w:p w:rsidR="00080AA1" w:rsidRPr="000D4DCD" w:rsidRDefault="00080AA1" w:rsidP="00080AA1">
      <w:pPr>
        <w:pStyle w:val="Titre1"/>
        <w:spacing w:line="360" w:lineRule="auto"/>
        <w:ind w:left="0"/>
        <w:rPr>
          <w:b w:val="0"/>
          <w:bCs w:val="0"/>
          <w:lang w:val="en-US"/>
        </w:rPr>
      </w:pPr>
      <w:r w:rsidRPr="000D4DCD">
        <w:rPr>
          <w:b w:val="0"/>
          <w:bCs w:val="0"/>
          <w:lang w:val="en-US"/>
        </w:rPr>
        <w:t>Finally, the positive perception that Tunisianaccountants have of the control role of third parties suggests that better informed stakeholders could encourage organizations to adopt more sustainable practices. As Antheaume (2021) points out, accounting data must not only enable companies to maintain ecosystems, but also inform stakeholders so that they participate in the pressure towards sustainable development.</w:t>
      </w:r>
    </w:p>
    <w:p w:rsidR="00080AA1" w:rsidRPr="000D4DCD" w:rsidRDefault="00080AA1" w:rsidP="00080AA1">
      <w:pPr>
        <w:pStyle w:val="Titre1"/>
        <w:spacing w:line="360" w:lineRule="auto"/>
        <w:ind w:left="0"/>
        <w:jc w:val="left"/>
        <w:rPr>
          <w:spacing w:val="-2"/>
          <w:lang w:val="en-US"/>
        </w:rPr>
      </w:pPr>
    </w:p>
    <w:p w:rsidR="00460855" w:rsidRPr="00080AA1" w:rsidRDefault="00460855" w:rsidP="00080AA1">
      <w:pPr>
        <w:autoSpaceDE w:val="0"/>
        <w:autoSpaceDN w:val="0"/>
        <w:adjustRightInd w:val="0"/>
        <w:ind w:left="360"/>
        <w:rPr>
          <w:rFonts w:asciiTheme="majorBidi" w:hAnsiTheme="majorBidi" w:cstheme="majorBidi"/>
          <w:b/>
          <w:bCs/>
          <w:sz w:val="24"/>
          <w:szCs w:val="24"/>
          <w:lang w:val="en-US"/>
        </w:rPr>
      </w:pPr>
    </w:p>
    <w:p w:rsidR="00FD56A2" w:rsidRDefault="00FD56A2" w:rsidP="00DE24F8">
      <w:pPr>
        <w:autoSpaceDE w:val="0"/>
        <w:autoSpaceDN w:val="0"/>
        <w:adjustRightInd w:val="0"/>
        <w:rPr>
          <w:rFonts w:asciiTheme="majorBidi" w:hAnsiTheme="majorBidi" w:cstheme="majorBidi"/>
          <w:sz w:val="24"/>
          <w:szCs w:val="24"/>
        </w:rPr>
      </w:pPr>
    </w:p>
    <w:p w:rsidR="00EB4623" w:rsidRDefault="00EB4623" w:rsidP="000032D8">
      <w:pPr>
        <w:autoSpaceDE w:val="0"/>
        <w:autoSpaceDN w:val="0"/>
        <w:adjustRightInd w:val="0"/>
        <w:rPr>
          <w:rFonts w:asciiTheme="majorBidi" w:hAnsiTheme="majorBidi" w:cstheme="majorBidi"/>
          <w:b/>
          <w:bCs/>
          <w:sz w:val="24"/>
          <w:szCs w:val="24"/>
        </w:rPr>
      </w:pPr>
    </w:p>
    <w:p w:rsidR="00172C98" w:rsidRPr="00DE24F8" w:rsidRDefault="00EB4623" w:rsidP="000032D8">
      <w:pPr>
        <w:autoSpaceDE w:val="0"/>
        <w:autoSpaceDN w:val="0"/>
        <w:adjustRightInd w:val="0"/>
        <w:rPr>
          <w:rFonts w:asciiTheme="majorBidi" w:eastAsia="Calibri" w:hAnsiTheme="majorBidi" w:cstheme="majorBidi"/>
          <w:b/>
          <w:bCs/>
          <w:sz w:val="24"/>
          <w:szCs w:val="24"/>
        </w:rPr>
      </w:pPr>
      <w:r w:rsidRPr="00DE24F8">
        <w:rPr>
          <w:rFonts w:asciiTheme="majorBidi" w:hAnsiTheme="majorBidi" w:cstheme="majorBidi"/>
          <w:b/>
          <w:bCs/>
          <w:sz w:val="24"/>
          <w:szCs w:val="24"/>
        </w:rPr>
        <w:t xml:space="preserve">Conclusion </w:t>
      </w:r>
    </w:p>
    <w:p w:rsidR="00080AA1" w:rsidRPr="000D4DCD" w:rsidRDefault="00080AA1" w:rsidP="00080AA1">
      <w:pPr>
        <w:pStyle w:val="Corpsdetexte"/>
        <w:spacing w:line="360" w:lineRule="auto"/>
        <w:ind w:left="0" w:right="6"/>
        <w:rPr>
          <w:lang w:val="en-US"/>
        </w:rPr>
      </w:pPr>
      <w:r w:rsidRPr="000D4DCD">
        <w:rPr>
          <w:lang w:val="en-US"/>
        </w:rPr>
        <w:t>Sustainable development is today a major challenge for all countries, including Tunisia. In this context, it is crucial to consider the potential contributions of all socio-economic actors, particularly accountants, to this green growth objective. Professional orders, such as the AICPA in the United States and the CIMA in the United Kingdom, recognize the key role that accountants can play in environmental management and encourage their more active involvement in this approach.</w:t>
      </w:r>
    </w:p>
    <w:p w:rsidR="00080AA1" w:rsidRPr="000D4DCD" w:rsidRDefault="00080AA1" w:rsidP="00080AA1">
      <w:pPr>
        <w:pStyle w:val="Corpsdetexte"/>
        <w:spacing w:line="360" w:lineRule="auto"/>
        <w:ind w:left="0" w:right="6"/>
        <w:rPr>
          <w:lang w:val="en-US"/>
        </w:rPr>
      </w:pPr>
      <w:r w:rsidRPr="000D4DCD">
        <w:rPr>
          <w:lang w:val="en-US"/>
        </w:rPr>
        <w:t>It is with this in mind that our exploratory study looked at the perceptions of accountants and their use of environmental accounting tools in Tunisia. The objective was to understand the attitude of these professionals towards environmental challenges and to assess the extent to which they integrate environmental accounting into their daily practices.</w:t>
      </w:r>
    </w:p>
    <w:p w:rsidR="00080AA1" w:rsidRPr="000D4DCD" w:rsidRDefault="00080AA1" w:rsidP="00080AA1">
      <w:pPr>
        <w:pStyle w:val="Corpsdetexte"/>
        <w:spacing w:line="360" w:lineRule="auto"/>
        <w:ind w:left="0" w:right="6"/>
        <w:rPr>
          <w:lang w:val="en-US"/>
        </w:rPr>
      </w:pPr>
      <w:r w:rsidRPr="000D4DCD">
        <w:rPr>
          <w:lang w:val="en-US"/>
        </w:rPr>
        <w:t>This research has a dual interest. First, it fills a gap in studies on accounting practices in Tunisia, a country where little research has been conducted on the subject. Second, it provides novel data on Tunisian accountants’ perceptions and commitment to environmental accounting, information that could inspire similar initiatives in Tunisia and other African countries.</w:t>
      </w:r>
    </w:p>
    <w:p w:rsidR="00080AA1" w:rsidRPr="000D4DCD" w:rsidRDefault="00080AA1" w:rsidP="00080AA1">
      <w:pPr>
        <w:pStyle w:val="Corpsdetexte"/>
        <w:spacing w:line="360" w:lineRule="auto"/>
        <w:ind w:left="0" w:right="6"/>
        <w:rPr>
          <w:lang w:val="en-US"/>
        </w:rPr>
      </w:pPr>
      <w:r w:rsidRPr="000D4DCD">
        <w:rPr>
          <w:lang w:val="en-US"/>
        </w:rPr>
        <w:t xml:space="preserve">From a methodological point of view, this study draws on the pioneering work of Bebbington et al. </w:t>
      </w:r>
      <w:r w:rsidRPr="00080AA1">
        <w:rPr>
          <w:lang w:val="en-US"/>
        </w:rPr>
        <w:t xml:space="preserve">(1994), by conducting a survey of 80 public and private accountants. </w:t>
      </w:r>
      <w:r w:rsidRPr="000D4DCD">
        <w:rPr>
          <w:lang w:val="en-US"/>
        </w:rPr>
        <w:t>One of the most notable results is the strong male dominance among the respondents (90%). Although this sample is not necessarily representative of the entire profession, this data deserves to be further explored through a sociological analysis of gender in the accounting profession, as suggested by previous studies on this topic (Kamla et al., 2020).</w:t>
      </w:r>
    </w:p>
    <w:p w:rsidR="00080AA1" w:rsidRPr="000D4DCD" w:rsidRDefault="00080AA1" w:rsidP="00080AA1">
      <w:pPr>
        <w:pStyle w:val="Corpsdetexte"/>
        <w:spacing w:line="360" w:lineRule="auto"/>
        <w:ind w:left="0" w:right="6"/>
        <w:rPr>
          <w:lang w:val="en-US"/>
        </w:rPr>
      </w:pPr>
      <w:r w:rsidRPr="000D4DCD">
        <w:rPr>
          <w:lang w:val="en-US"/>
        </w:rPr>
        <w:t>Regarding the main results, Tunisian accountants demonstrate an overall positive attitude towards environmental issues. However, this sensitivity does not systematically translate into increased use of environmental accounting tools, a finding that is also observed in other emerging and developed countries (Antheaume, 2021; Bebbington &amp; Larrinaga, 2014). Several institutional and organizational factors may explain this low adoption, and it would be relevant to conduct further research to identify these obstacles (Burritt &amp; Christ, 2021).</w:t>
      </w:r>
    </w:p>
    <w:p w:rsidR="00080AA1" w:rsidRPr="000D4DCD" w:rsidRDefault="00080AA1" w:rsidP="00080AA1">
      <w:pPr>
        <w:pStyle w:val="Corpsdetexte"/>
        <w:spacing w:line="360" w:lineRule="auto"/>
        <w:ind w:left="0" w:right="6"/>
        <w:rPr>
          <w:lang w:val="en-US"/>
        </w:rPr>
      </w:pPr>
      <w:r w:rsidRPr="000D4DCD">
        <w:rPr>
          <w:lang w:val="en-US"/>
        </w:rPr>
        <w:t xml:space="preserve">Our results, although promising, have certain limitations, particularly in terms of sampling and the measurement tools used. The Bebbington et al. (1994) attitude measurement grid, for </w:t>
      </w:r>
      <w:r w:rsidRPr="000D4DCD">
        <w:rPr>
          <w:lang w:val="en-US"/>
        </w:rPr>
        <w:lastRenderedPageBreak/>
        <w:t>example, may no longer be entirely relevant in the current context. Future work could rely on more recent instruments and more rigorous sampling techniques to refine these results and propose more robust recommendations.</w:t>
      </w:r>
    </w:p>
    <w:p w:rsidR="00080AA1" w:rsidRDefault="00080AA1" w:rsidP="00080AA1">
      <w:pPr>
        <w:pStyle w:val="Corpsdetexte"/>
        <w:spacing w:line="360" w:lineRule="auto"/>
        <w:ind w:left="0" w:right="6"/>
        <w:rPr>
          <w:lang w:val="en-US"/>
        </w:rPr>
      </w:pPr>
      <w:r w:rsidRPr="000D4DCD">
        <w:rPr>
          <w:lang w:val="en-US"/>
        </w:rPr>
        <w:t>Despite these limitations, our study is consistent with the findings of other research conducted in countries such as Australia and Malaysia, which show that accountants, although open to environmental issues, still struggle to fully integrate them into their professional practices (Wilmshurst &amp; Frost, 2019; Zulkifli &amp; Amran, 2020). It is therefore crucial to identify and test the institutional and organizational variables that hinder the adoption of environmental accounting in these contexts. Finally, it is urgent that accountants, and in particular chartered accountants, seize the opportunities offered by environmental accounting. These new skills, such as the collection and analysis of environmental data, the assessment of ecological and social risks, as well as the drafting of environmental reports, are becoming strategic assets for companies and public organizations. Close collaboration between accounting orders and researchers would make it possible to develop training and awareness programs, thus positioning African accountants in the dynamics of their international counterparts.</w:t>
      </w:r>
    </w:p>
    <w:p w:rsidR="00080AA1" w:rsidRDefault="00080AA1" w:rsidP="00080AA1">
      <w:pPr>
        <w:pStyle w:val="Corpsdetexte"/>
        <w:spacing w:line="360" w:lineRule="auto"/>
        <w:ind w:left="0" w:right="6"/>
        <w:rPr>
          <w:lang w:val="en-US"/>
        </w:rPr>
      </w:pPr>
    </w:p>
    <w:p w:rsidR="00080AA1" w:rsidRDefault="00080AA1" w:rsidP="00080AA1">
      <w:pPr>
        <w:pStyle w:val="Corpsdetexte"/>
        <w:spacing w:line="360" w:lineRule="auto"/>
        <w:ind w:left="0" w:right="6"/>
        <w:rPr>
          <w:lang w:val="en-US"/>
        </w:rPr>
      </w:pPr>
    </w:p>
    <w:p w:rsidR="00080AA1" w:rsidRDefault="00080AA1" w:rsidP="00080AA1">
      <w:pPr>
        <w:pStyle w:val="Corpsdetexte"/>
        <w:spacing w:line="360" w:lineRule="auto"/>
        <w:ind w:left="0" w:right="6"/>
        <w:rPr>
          <w:lang w:val="en-US"/>
        </w:rPr>
      </w:pPr>
    </w:p>
    <w:p w:rsidR="00E11120" w:rsidRPr="00DE24F8" w:rsidRDefault="00E11120" w:rsidP="00761937">
      <w:pPr>
        <w:autoSpaceDE w:val="0"/>
        <w:autoSpaceDN w:val="0"/>
        <w:adjustRightInd w:val="0"/>
        <w:rPr>
          <w:rFonts w:asciiTheme="majorBidi" w:hAnsiTheme="majorBidi" w:cstheme="majorBidi"/>
          <w:b/>
          <w:bCs/>
          <w:sz w:val="24"/>
          <w:szCs w:val="24"/>
          <w:lang w:val="en-US"/>
        </w:rPr>
      </w:pPr>
    </w:p>
    <w:p w:rsidR="00DE24F8" w:rsidRPr="00DE24F8" w:rsidRDefault="00DE24F8">
      <w:pPr>
        <w:rPr>
          <w:rFonts w:asciiTheme="majorBidi" w:hAnsiTheme="majorBidi" w:cstheme="majorBidi"/>
          <w:b/>
          <w:bCs/>
          <w:sz w:val="24"/>
          <w:szCs w:val="24"/>
        </w:rPr>
      </w:pPr>
      <w:r w:rsidRPr="00DE24F8">
        <w:rPr>
          <w:rFonts w:asciiTheme="majorBidi" w:hAnsiTheme="majorBidi" w:cstheme="majorBidi"/>
          <w:b/>
          <w:bCs/>
          <w:sz w:val="24"/>
          <w:szCs w:val="24"/>
        </w:rPr>
        <w:br w:type="page"/>
      </w:r>
    </w:p>
    <w:p w:rsidR="00080AA1" w:rsidRPr="000D4DCD" w:rsidRDefault="00080AA1" w:rsidP="00080AA1">
      <w:pPr>
        <w:pStyle w:val="Corpsdetexte"/>
        <w:spacing w:line="360" w:lineRule="auto"/>
        <w:ind w:left="0" w:right="6"/>
        <w:rPr>
          <w:b/>
          <w:bCs/>
          <w:lang w:val="en-US"/>
        </w:rPr>
      </w:pPr>
      <w:r w:rsidRPr="000D4DCD">
        <w:rPr>
          <w:b/>
          <w:bCs/>
          <w:lang w:val="en-US"/>
        </w:rPr>
        <w:lastRenderedPageBreak/>
        <w:t>Bibliographic references</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Adams, C. A., &amp; Larrinaga, C. (2021). </w:t>
      </w:r>
      <w:r w:rsidRPr="000D4DCD">
        <w:rPr>
          <w:rFonts w:asciiTheme="majorBidi" w:hAnsiTheme="majorBidi" w:cstheme="majorBidi"/>
          <w:i/>
          <w:iCs/>
          <w:sz w:val="24"/>
          <w:szCs w:val="24"/>
          <w:lang w:val="en-US"/>
        </w:rPr>
        <w:t>Progressive Change in Corporate Sustainability Reporting: Normativity and Relevance</w:t>
      </w:r>
      <w:r w:rsidRPr="000D4DCD">
        <w:rPr>
          <w:rFonts w:asciiTheme="majorBidi" w:hAnsiTheme="majorBidi" w:cstheme="majorBidi"/>
          <w:sz w:val="24"/>
          <w:szCs w:val="24"/>
          <w:lang w:val="en-US"/>
        </w:rPr>
        <w:t>. Accounting, Auditing &amp; Accountability Journal, 34(5), 1090-1119.</w:t>
      </w:r>
    </w:p>
    <w:p w:rsidR="00080AA1" w:rsidRPr="00EA01D6" w:rsidRDefault="00080AA1" w:rsidP="00080AA1">
      <w:pPr>
        <w:ind w:left="284" w:hanging="284"/>
        <w:rPr>
          <w:rFonts w:asciiTheme="majorBidi" w:hAnsiTheme="majorBidi" w:cstheme="majorBidi"/>
          <w:sz w:val="24"/>
          <w:szCs w:val="24"/>
        </w:rPr>
      </w:pPr>
      <w:r w:rsidRPr="000D4DCD">
        <w:rPr>
          <w:rFonts w:asciiTheme="majorBidi" w:hAnsiTheme="majorBidi" w:cstheme="majorBidi"/>
          <w:sz w:val="24"/>
          <w:szCs w:val="24"/>
          <w:lang w:val="en-US"/>
        </w:rPr>
        <w:t xml:space="preserve">Antheaume, J. (2021). </w:t>
      </w:r>
      <w:r w:rsidRPr="000D4DCD">
        <w:rPr>
          <w:rFonts w:asciiTheme="majorBidi" w:hAnsiTheme="majorBidi" w:cstheme="majorBidi"/>
          <w:i/>
          <w:iCs/>
          <w:sz w:val="24"/>
          <w:szCs w:val="24"/>
          <w:lang w:val="en-US"/>
        </w:rPr>
        <w:t>Environmental accounting in the digital age: Innovations and practices</w:t>
      </w:r>
      <w:r w:rsidRPr="000D4DCD">
        <w:rPr>
          <w:rFonts w:asciiTheme="majorBidi" w:hAnsiTheme="majorBidi" w:cstheme="majorBidi"/>
          <w:sz w:val="24"/>
          <w:szCs w:val="24"/>
          <w:lang w:val="en-US"/>
        </w:rPr>
        <w:t xml:space="preserve">. </w:t>
      </w:r>
      <w:r w:rsidRPr="00EA01D6">
        <w:rPr>
          <w:rFonts w:asciiTheme="majorBidi" w:hAnsiTheme="majorBidi" w:cstheme="majorBidi"/>
          <w:i/>
          <w:iCs/>
          <w:sz w:val="24"/>
          <w:szCs w:val="24"/>
        </w:rPr>
        <w:t>Journal of Environmental Management</w:t>
      </w:r>
      <w:r w:rsidRPr="00EA01D6">
        <w:rPr>
          <w:rFonts w:asciiTheme="majorBidi" w:hAnsiTheme="majorBidi" w:cstheme="majorBidi"/>
          <w:sz w:val="24"/>
          <w:szCs w:val="24"/>
        </w:rPr>
        <w:t>, 270, 110944.</w:t>
      </w:r>
    </w:p>
    <w:p w:rsidR="00080AA1" w:rsidRPr="00C241DA" w:rsidRDefault="00080AA1" w:rsidP="00080AA1">
      <w:pPr>
        <w:ind w:left="284" w:hanging="284"/>
        <w:rPr>
          <w:rFonts w:asciiTheme="majorBidi" w:hAnsiTheme="majorBidi" w:cstheme="majorBidi"/>
          <w:sz w:val="24"/>
          <w:szCs w:val="24"/>
        </w:rPr>
      </w:pPr>
      <w:r w:rsidRPr="00C241DA">
        <w:rPr>
          <w:rFonts w:asciiTheme="majorBidi" w:hAnsiTheme="majorBidi" w:cstheme="majorBidi"/>
          <w:sz w:val="24"/>
          <w:szCs w:val="24"/>
        </w:rPr>
        <w:t xml:space="preserve">Antheaume, N. (2013). </w:t>
      </w:r>
      <w:r w:rsidRPr="00C241DA">
        <w:rPr>
          <w:rFonts w:asciiTheme="majorBidi" w:hAnsiTheme="majorBidi" w:cstheme="majorBidi"/>
          <w:i/>
          <w:iCs/>
          <w:sz w:val="24"/>
          <w:szCs w:val="24"/>
        </w:rPr>
        <w:t>La comptabilité environnementale</w:t>
      </w:r>
      <w:r w:rsidRPr="00C241DA">
        <w:rPr>
          <w:rFonts w:asciiTheme="majorBidi" w:hAnsiTheme="majorBidi" w:cstheme="majorBidi"/>
          <w:sz w:val="24"/>
          <w:szCs w:val="24"/>
        </w:rPr>
        <w:t>. Presses Universitaires de France.</w:t>
      </w:r>
    </w:p>
    <w:p w:rsidR="00080AA1" w:rsidRPr="00080AA1"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Association of International Certified Professional Accountants (AICPA) &amp; Chartered Institute of Management Accountants (CIMA). </w:t>
      </w:r>
      <w:r w:rsidRPr="00080AA1">
        <w:rPr>
          <w:rFonts w:asciiTheme="majorBidi" w:hAnsiTheme="majorBidi" w:cstheme="majorBidi"/>
          <w:sz w:val="24"/>
          <w:szCs w:val="24"/>
          <w:lang w:val="en-US"/>
        </w:rPr>
        <w:t xml:space="preserve">(2021). </w:t>
      </w:r>
      <w:r w:rsidRPr="00080AA1">
        <w:rPr>
          <w:rFonts w:asciiTheme="majorBidi" w:hAnsiTheme="majorBidi" w:cstheme="majorBidi"/>
          <w:i/>
          <w:iCs/>
          <w:sz w:val="24"/>
          <w:szCs w:val="24"/>
          <w:lang w:val="en-US"/>
        </w:rPr>
        <w:t>The future of management accounting: Environmental considerations</w:t>
      </w:r>
      <w:r w:rsidRPr="00080AA1">
        <w:rPr>
          <w:rFonts w:asciiTheme="majorBidi" w:hAnsiTheme="majorBidi" w:cstheme="majorBidi"/>
          <w:sz w:val="24"/>
          <w:szCs w:val="24"/>
          <w:lang w:val="en-US"/>
        </w:rPr>
        <w:t xml:space="preserve">. </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Bartolomeo, M., Bennett, M., Bouma, J. J., Heydkamp, P., James, P., &amp; Wolters, T. (2000). Environmental management accounting in Europe: Current practice and future potential. </w:t>
      </w:r>
      <w:r w:rsidRPr="000D4DCD">
        <w:rPr>
          <w:rFonts w:asciiTheme="majorBidi" w:hAnsiTheme="majorBidi" w:cstheme="majorBidi"/>
          <w:i/>
          <w:iCs/>
          <w:sz w:val="24"/>
          <w:szCs w:val="24"/>
          <w:lang w:val="en-US"/>
        </w:rPr>
        <w:t>European Accounting Review, 9</w:t>
      </w:r>
      <w:r w:rsidRPr="000D4DCD">
        <w:rPr>
          <w:rFonts w:asciiTheme="majorBidi" w:hAnsiTheme="majorBidi" w:cstheme="majorBidi"/>
          <w:sz w:val="24"/>
          <w:szCs w:val="24"/>
          <w:lang w:val="en-US"/>
        </w:rPr>
        <w:t>(1), 31-52.</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Bebbington, J., &amp; Larrinaga, C. (2014). </w:t>
      </w:r>
      <w:r w:rsidRPr="000D4DCD">
        <w:rPr>
          <w:rFonts w:asciiTheme="majorBidi" w:hAnsiTheme="majorBidi" w:cstheme="majorBidi"/>
          <w:i/>
          <w:iCs/>
          <w:sz w:val="24"/>
          <w:szCs w:val="24"/>
          <w:lang w:val="en-US"/>
        </w:rPr>
        <w:t>Accounting for sustainable development: The role of accountants in the corporate sustainability agenda</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Sustainability Accounting, Management and Policy Journal</w:t>
      </w:r>
      <w:r w:rsidRPr="000D4DCD">
        <w:rPr>
          <w:rFonts w:asciiTheme="majorBidi" w:hAnsiTheme="majorBidi" w:cstheme="majorBidi"/>
          <w:sz w:val="24"/>
          <w:szCs w:val="24"/>
          <w:lang w:val="en-US"/>
        </w:rPr>
        <w:t>, 5(3), 232-253.</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Bebbington, J., et al. </w:t>
      </w:r>
      <w:r w:rsidRPr="00080AA1">
        <w:rPr>
          <w:rFonts w:asciiTheme="majorBidi" w:hAnsiTheme="majorBidi" w:cstheme="majorBidi"/>
          <w:sz w:val="24"/>
          <w:szCs w:val="24"/>
          <w:lang w:val="en-US"/>
        </w:rPr>
        <w:t xml:space="preserve">(2020). </w:t>
      </w:r>
      <w:r w:rsidRPr="000D4DCD">
        <w:rPr>
          <w:rFonts w:asciiTheme="majorBidi" w:hAnsiTheme="majorBidi" w:cstheme="majorBidi"/>
          <w:i/>
          <w:iCs/>
          <w:sz w:val="24"/>
          <w:szCs w:val="24"/>
          <w:lang w:val="en-US"/>
        </w:rPr>
        <w:t>Accountability, sustainability and environmental reporting: A critical overview</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Sustainability Accounting, Management and Policy Journal</w:t>
      </w:r>
      <w:r w:rsidRPr="000D4DCD">
        <w:rPr>
          <w:rFonts w:asciiTheme="majorBidi" w:hAnsiTheme="majorBidi" w:cstheme="majorBidi"/>
          <w:sz w:val="24"/>
          <w:szCs w:val="24"/>
          <w:lang w:val="en-US"/>
        </w:rPr>
        <w:t>, 11(4), 747-763.</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Bebbington, J., et al. </w:t>
      </w:r>
      <w:r w:rsidRPr="00080AA1">
        <w:rPr>
          <w:rFonts w:asciiTheme="majorBidi" w:hAnsiTheme="majorBidi" w:cstheme="majorBidi"/>
          <w:sz w:val="24"/>
          <w:szCs w:val="24"/>
          <w:lang w:val="en-US"/>
        </w:rPr>
        <w:t xml:space="preserve">(2021). </w:t>
      </w:r>
      <w:r w:rsidRPr="000D4DCD">
        <w:rPr>
          <w:rFonts w:asciiTheme="majorBidi" w:hAnsiTheme="majorBidi" w:cstheme="majorBidi"/>
          <w:sz w:val="24"/>
          <w:szCs w:val="24"/>
          <w:lang w:val="en-US"/>
        </w:rPr>
        <w:t>Sustainability Accounting and Accountability. 2nd Edition, London: Routledge.</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Bebbington, J., Gray, R., Thomson, I., &amp; Walters, D. (1994). Accountants’ attitudes and Environmentally-sensitive accounting. </w:t>
      </w:r>
      <w:r w:rsidRPr="000D4DCD">
        <w:rPr>
          <w:rFonts w:asciiTheme="majorBidi" w:hAnsiTheme="majorBidi" w:cstheme="majorBidi"/>
          <w:i/>
          <w:sz w:val="24"/>
          <w:szCs w:val="24"/>
          <w:lang w:val="en-US"/>
        </w:rPr>
        <w:t>Accounting and Business Research</w:t>
      </w:r>
      <w:r w:rsidRPr="000D4DCD">
        <w:rPr>
          <w:rFonts w:asciiTheme="majorBidi" w:hAnsiTheme="majorBidi" w:cstheme="majorBidi"/>
          <w:sz w:val="24"/>
          <w:szCs w:val="24"/>
          <w:lang w:val="en-US"/>
        </w:rPr>
        <w:t xml:space="preserve">, </w:t>
      </w:r>
      <w:r w:rsidRPr="000D4DCD">
        <w:rPr>
          <w:rFonts w:asciiTheme="majorBidi" w:hAnsiTheme="majorBidi" w:cstheme="majorBidi"/>
          <w:i/>
          <w:sz w:val="24"/>
          <w:szCs w:val="24"/>
          <w:lang w:val="en-US"/>
        </w:rPr>
        <w:t>24(94)</w:t>
      </w:r>
      <w:r w:rsidRPr="000D4DCD">
        <w:rPr>
          <w:rFonts w:asciiTheme="majorBidi" w:hAnsiTheme="majorBidi" w:cstheme="majorBidi"/>
          <w:sz w:val="24"/>
          <w:szCs w:val="24"/>
          <w:lang w:val="en-US"/>
        </w:rPr>
        <w:t>, 109</w:t>
      </w:r>
      <w:r w:rsidRPr="000D4DCD">
        <w:rPr>
          <w:rFonts w:ascii="MS Mincho" w:eastAsia="MS Mincho" w:hAnsi="MS Mincho" w:cs="MS Mincho" w:hint="eastAsia"/>
          <w:sz w:val="24"/>
          <w:szCs w:val="24"/>
          <w:lang w:val="en-US"/>
        </w:rPr>
        <w:t>‑</w:t>
      </w:r>
      <w:r w:rsidRPr="000D4DCD">
        <w:rPr>
          <w:rFonts w:ascii="Times New Roman" w:hAnsi="Times New Roman" w:cs="Times New Roman"/>
          <w:sz w:val="24"/>
          <w:szCs w:val="24"/>
          <w:lang w:val="en-US"/>
        </w:rPr>
        <w:t>120.</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Burritt, R. L., &amp; Christ, K. L. (2021). Environmental management accounting: The significance of contingent variables for adoption. </w:t>
      </w:r>
      <w:r w:rsidRPr="000D4DCD">
        <w:rPr>
          <w:rFonts w:asciiTheme="majorBidi" w:hAnsiTheme="majorBidi" w:cstheme="majorBidi"/>
          <w:i/>
          <w:iCs/>
          <w:sz w:val="24"/>
          <w:szCs w:val="24"/>
          <w:lang w:val="en-US"/>
        </w:rPr>
        <w:t>Sustainability Accounting, Management and Policy Journal, 12</w:t>
      </w:r>
      <w:r w:rsidRPr="000D4DCD">
        <w:rPr>
          <w:rFonts w:asciiTheme="majorBidi" w:hAnsiTheme="majorBidi" w:cstheme="majorBidi"/>
          <w:sz w:val="24"/>
          <w:szCs w:val="24"/>
          <w:lang w:val="en-US"/>
        </w:rPr>
        <w:t>(1), 136-165.</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CGMA (2021). Driving Sustainability in Corporate Strategy. American Institute of CPAs.</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Christ, K. L., &amp; Burritt, R. L. (2021). Accountability for the sustainable development goals: A double-edged sword. </w:t>
      </w:r>
      <w:r w:rsidRPr="000D4DCD">
        <w:rPr>
          <w:rFonts w:asciiTheme="majorBidi" w:hAnsiTheme="majorBidi" w:cstheme="majorBidi"/>
          <w:i/>
          <w:iCs/>
          <w:sz w:val="24"/>
          <w:szCs w:val="24"/>
          <w:lang w:val="en-US"/>
        </w:rPr>
        <w:t>Accounting, Auditing &amp; Accountability Journal, 34</w:t>
      </w:r>
      <w:r w:rsidRPr="000D4DCD">
        <w:rPr>
          <w:rFonts w:asciiTheme="majorBidi" w:hAnsiTheme="majorBidi" w:cstheme="majorBidi"/>
          <w:sz w:val="24"/>
          <w:szCs w:val="24"/>
          <w:lang w:val="en-US"/>
        </w:rPr>
        <w:t>(7), 1493-1519.</w:t>
      </w:r>
    </w:p>
    <w:p w:rsidR="00080AA1" w:rsidRPr="00C241DA" w:rsidRDefault="00080AA1" w:rsidP="00080AA1">
      <w:pPr>
        <w:ind w:left="284" w:hanging="284"/>
        <w:rPr>
          <w:rFonts w:asciiTheme="majorBidi" w:hAnsiTheme="majorBidi" w:cstheme="majorBidi"/>
          <w:sz w:val="24"/>
          <w:szCs w:val="24"/>
        </w:rPr>
      </w:pPr>
      <w:r w:rsidRPr="000D4DCD">
        <w:rPr>
          <w:rFonts w:asciiTheme="majorBidi" w:hAnsiTheme="majorBidi" w:cstheme="majorBidi"/>
          <w:sz w:val="24"/>
          <w:szCs w:val="24"/>
          <w:lang w:val="en-US"/>
        </w:rPr>
        <w:lastRenderedPageBreak/>
        <w:t xml:space="preserve">Deegan, C., et al. (2018). </w:t>
      </w:r>
      <w:r w:rsidRPr="000D4DCD">
        <w:rPr>
          <w:rFonts w:asciiTheme="majorBidi" w:hAnsiTheme="majorBidi" w:cstheme="majorBidi"/>
          <w:i/>
          <w:iCs/>
          <w:sz w:val="24"/>
          <w:szCs w:val="24"/>
          <w:lang w:val="en-US"/>
        </w:rPr>
        <w:t>The role of accountants in environmental reporting: A case study approach</w:t>
      </w:r>
      <w:r w:rsidRPr="000D4DCD">
        <w:rPr>
          <w:rFonts w:asciiTheme="majorBidi" w:hAnsiTheme="majorBidi" w:cstheme="majorBidi"/>
          <w:sz w:val="24"/>
          <w:szCs w:val="24"/>
          <w:lang w:val="en-US"/>
        </w:rPr>
        <w:t xml:space="preserve">. </w:t>
      </w:r>
      <w:r w:rsidRPr="00C241DA">
        <w:rPr>
          <w:rFonts w:asciiTheme="majorBidi" w:hAnsiTheme="majorBidi" w:cstheme="majorBidi"/>
          <w:i/>
          <w:iCs/>
          <w:sz w:val="24"/>
          <w:szCs w:val="24"/>
        </w:rPr>
        <w:t>Accounting, Auditing &amp; Accountability Journal</w:t>
      </w:r>
      <w:r w:rsidRPr="00C241DA">
        <w:rPr>
          <w:rFonts w:asciiTheme="majorBidi" w:hAnsiTheme="majorBidi" w:cstheme="majorBidi"/>
          <w:sz w:val="24"/>
          <w:szCs w:val="24"/>
        </w:rPr>
        <w:t>, 31(2), 623-645.</w:t>
      </w:r>
    </w:p>
    <w:p w:rsidR="00080AA1" w:rsidRPr="000D4DCD" w:rsidRDefault="00080AA1" w:rsidP="00080AA1">
      <w:pPr>
        <w:ind w:left="284" w:hanging="284"/>
        <w:rPr>
          <w:rFonts w:asciiTheme="majorBidi" w:hAnsiTheme="majorBidi" w:cstheme="majorBidi"/>
          <w:sz w:val="24"/>
          <w:szCs w:val="24"/>
          <w:lang w:val="en-US"/>
        </w:rPr>
      </w:pPr>
      <w:r w:rsidRPr="00C241DA">
        <w:rPr>
          <w:rFonts w:asciiTheme="majorBidi" w:hAnsiTheme="majorBidi" w:cstheme="majorBidi"/>
          <w:sz w:val="24"/>
          <w:szCs w:val="24"/>
        </w:rPr>
        <w:t xml:space="preserve">Essid, H., &amp; Berland, N. (2011). L’adoption des normes de gestion environnementale en Tunisie. </w:t>
      </w:r>
      <w:r w:rsidRPr="000D4DCD">
        <w:rPr>
          <w:rFonts w:asciiTheme="majorBidi" w:hAnsiTheme="majorBidi" w:cstheme="majorBidi"/>
          <w:i/>
          <w:iCs/>
          <w:sz w:val="24"/>
          <w:szCs w:val="24"/>
          <w:lang w:val="en-US"/>
        </w:rPr>
        <w:t>Comptabilité – Contrôle – Audit, 17</w:t>
      </w:r>
      <w:r w:rsidRPr="000D4DCD">
        <w:rPr>
          <w:rFonts w:asciiTheme="majorBidi" w:hAnsiTheme="majorBidi" w:cstheme="majorBidi"/>
          <w:sz w:val="24"/>
          <w:szCs w:val="24"/>
          <w:lang w:val="en-US"/>
        </w:rPr>
        <w:t>(2), 89-120.</w:t>
      </w:r>
    </w:p>
    <w:p w:rsidR="00080AA1" w:rsidRPr="00080AA1"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Essid, M. &amp; Berland, C. (2020). </w:t>
      </w:r>
      <w:r w:rsidRPr="000D4DCD">
        <w:rPr>
          <w:rFonts w:asciiTheme="majorBidi" w:hAnsiTheme="majorBidi" w:cstheme="majorBidi"/>
          <w:i/>
          <w:iCs/>
          <w:sz w:val="24"/>
          <w:szCs w:val="24"/>
          <w:lang w:val="en-US"/>
        </w:rPr>
        <w:t>The impact of environmental standards on corporate governance: Evidence from Tunisian firms</w:t>
      </w:r>
      <w:r w:rsidRPr="000D4DCD">
        <w:rPr>
          <w:rFonts w:asciiTheme="majorBidi" w:hAnsiTheme="majorBidi" w:cstheme="majorBidi"/>
          <w:sz w:val="24"/>
          <w:szCs w:val="24"/>
          <w:lang w:val="en-US"/>
        </w:rPr>
        <w:t xml:space="preserve">. </w:t>
      </w:r>
      <w:r w:rsidRPr="00080AA1">
        <w:rPr>
          <w:rFonts w:asciiTheme="majorBidi" w:hAnsiTheme="majorBidi" w:cstheme="majorBidi"/>
          <w:i/>
          <w:iCs/>
          <w:sz w:val="24"/>
          <w:szCs w:val="24"/>
          <w:lang w:val="en-US"/>
        </w:rPr>
        <w:t>Corporate Social Responsibility and Environmental Management</w:t>
      </w:r>
      <w:r w:rsidRPr="00080AA1">
        <w:rPr>
          <w:rFonts w:asciiTheme="majorBidi" w:hAnsiTheme="majorBidi" w:cstheme="majorBidi"/>
          <w:sz w:val="24"/>
          <w:szCs w:val="24"/>
          <w:lang w:val="en-US"/>
        </w:rPr>
        <w:t>, 27(4), 1541-1550.</w:t>
      </w:r>
    </w:p>
    <w:p w:rsidR="00080AA1" w:rsidRPr="00080AA1" w:rsidRDefault="00080AA1" w:rsidP="00080AA1">
      <w:pPr>
        <w:ind w:left="284" w:hanging="284"/>
        <w:rPr>
          <w:rFonts w:asciiTheme="majorBidi" w:hAnsiTheme="majorBidi" w:cstheme="majorBidi"/>
          <w:sz w:val="24"/>
          <w:szCs w:val="24"/>
          <w:lang w:val="en-US"/>
        </w:rPr>
      </w:pPr>
      <w:r w:rsidRPr="00080AA1">
        <w:rPr>
          <w:rFonts w:asciiTheme="majorBidi" w:hAnsiTheme="majorBidi" w:cstheme="majorBidi"/>
          <w:sz w:val="24"/>
          <w:szCs w:val="24"/>
          <w:lang w:val="en-US"/>
        </w:rPr>
        <w:t xml:space="preserve">European Commission. (2021). </w:t>
      </w:r>
      <w:r w:rsidRPr="00080AA1">
        <w:rPr>
          <w:rFonts w:asciiTheme="majorBidi" w:hAnsiTheme="majorBidi" w:cstheme="majorBidi"/>
          <w:i/>
          <w:iCs/>
          <w:sz w:val="24"/>
          <w:szCs w:val="24"/>
          <w:lang w:val="en-US"/>
        </w:rPr>
        <w:t>EMAS - Eco-Management and Audit Scheme</w:t>
      </w:r>
      <w:r w:rsidRPr="00080AA1">
        <w:rPr>
          <w:rFonts w:asciiTheme="majorBidi" w:hAnsiTheme="majorBidi" w:cstheme="majorBidi"/>
          <w:sz w:val="24"/>
          <w:szCs w:val="24"/>
          <w:lang w:val="en-US"/>
        </w:rPr>
        <w:t xml:space="preserve">. </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IFAC (2022). Accountancy and the Sustainable Development Goals: An Agenda for Action. International Federation of Accountants.</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IFAC. (2020). </w:t>
      </w:r>
      <w:r w:rsidRPr="000D4DCD">
        <w:rPr>
          <w:rFonts w:asciiTheme="majorBidi" w:hAnsiTheme="majorBidi" w:cstheme="majorBidi"/>
          <w:i/>
          <w:iCs/>
          <w:sz w:val="24"/>
          <w:szCs w:val="24"/>
          <w:lang w:val="en-US"/>
        </w:rPr>
        <w:t>Sustainability and the role of the accounting profession</w:t>
      </w:r>
      <w:r w:rsidRPr="000D4DCD">
        <w:rPr>
          <w:rFonts w:asciiTheme="majorBidi" w:hAnsiTheme="majorBidi" w:cstheme="majorBidi"/>
          <w:sz w:val="24"/>
          <w:szCs w:val="24"/>
          <w:lang w:val="en-US"/>
        </w:rPr>
        <w:t>. International Federation of Accountants.</w:t>
      </w:r>
    </w:p>
    <w:p w:rsidR="00080AA1" w:rsidRPr="00080AA1"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Islam, S. &amp; Adams, C. A. (2021). </w:t>
      </w:r>
      <w:r w:rsidRPr="000D4DCD">
        <w:rPr>
          <w:rFonts w:asciiTheme="majorBidi" w:hAnsiTheme="majorBidi" w:cstheme="majorBidi"/>
          <w:i/>
          <w:iCs/>
          <w:sz w:val="24"/>
          <w:szCs w:val="24"/>
          <w:lang w:val="en-US"/>
        </w:rPr>
        <w:t>Environmental accounting and social responsibility in Bangladesh: An exploratory study</w:t>
      </w:r>
      <w:r w:rsidRPr="000D4DCD">
        <w:rPr>
          <w:rFonts w:asciiTheme="majorBidi" w:hAnsiTheme="majorBidi" w:cstheme="majorBidi"/>
          <w:sz w:val="24"/>
          <w:szCs w:val="24"/>
          <w:lang w:val="en-US"/>
        </w:rPr>
        <w:t xml:space="preserve">. </w:t>
      </w:r>
      <w:r w:rsidRPr="00080AA1">
        <w:rPr>
          <w:rFonts w:asciiTheme="majorBidi" w:hAnsiTheme="majorBidi" w:cstheme="majorBidi"/>
          <w:i/>
          <w:iCs/>
          <w:sz w:val="24"/>
          <w:szCs w:val="24"/>
          <w:lang w:val="en-US"/>
        </w:rPr>
        <w:t>Social Responsibility Journal</w:t>
      </w:r>
      <w:r w:rsidRPr="00080AA1">
        <w:rPr>
          <w:rFonts w:asciiTheme="majorBidi" w:hAnsiTheme="majorBidi" w:cstheme="majorBidi"/>
          <w:sz w:val="24"/>
          <w:szCs w:val="24"/>
          <w:lang w:val="en-US"/>
        </w:rPr>
        <w:t>, 17(3), 425-441.</w:t>
      </w:r>
    </w:p>
    <w:p w:rsidR="00080AA1" w:rsidRPr="000D4DCD" w:rsidRDefault="00080AA1" w:rsidP="00080AA1">
      <w:pPr>
        <w:ind w:left="284" w:hanging="284"/>
        <w:rPr>
          <w:rFonts w:asciiTheme="majorBidi" w:hAnsiTheme="majorBidi" w:cstheme="majorBidi"/>
          <w:sz w:val="24"/>
          <w:szCs w:val="24"/>
          <w:lang w:val="en-US"/>
        </w:rPr>
      </w:pPr>
      <w:r w:rsidRPr="00080AA1">
        <w:rPr>
          <w:rFonts w:asciiTheme="majorBidi" w:hAnsiTheme="majorBidi" w:cstheme="majorBidi"/>
          <w:sz w:val="24"/>
          <w:szCs w:val="24"/>
          <w:lang w:val="en-US"/>
        </w:rPr>
        <w:t xml:space="preserve">ISO. (2020). </w:t>
      </w:r>
      <w:r w:rsidRPr="00080AA1">
        <w:rPr>
          <w:rFonts w:asciiTheme="majorBidi" w:hAnsiTheme="majorBidi" w:cstheme="majorBidi"/>
          <w:i/>
          <w:iCs/>
          <w:sz w:val="24"/>
          <w:szCs w:val="24"/>
          <w:lang w:val="en-US"/>
        </w:rPr>
        <w:t>ISO 14000 Family - Environmental Management</w:t>
      </w:r>
      <w:r w:rsidRPr="00080AA1">
        <w:rPr>
          <w:rFonts w:asciiTheme="majorBidi" w:hAnsiTheme="majorBidi" w:cstheme="majorBidi"/>
          <w:sz w:val="24"/>
          <w:szCs w:val="24"/>
          <w:lang w:val="en-US"/>
        </w:rPr>
        <w:t xml:space="preserve">. </w:t>
      </w:r>
      <w:r w:rsidRPr="000D4DCD">
        <w:rPr>
          <w:rFonts w:asciiTheme="majorBidi" w:hAnsiTheme="majorBidi" w:cstheme="majorBidi"/>
          <w:sz w:val="24"/>
          <w:szCs w:val="24"/>
          <w:lang w:val="en-US"/>
        </w:rPr>
        <w:t>International Organization for Standardization.</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Jaggi, B., &amp; Lee, M. (2020). </w:t>
      </w:r>
      <w:r w:rsidRPr="000D4DCD">
        <w:rPr>
          <w:rFonts w:asciiTheme="majorBidi" w:hAnsiTheme="majorBidi" w:cstheme="majorBidi"/>
          <w:i/>
          <w:iCs/>
          <w:sz w:val="24"/>
          <w:szCs w:val="24"/>
          <w:lang w:val="en-US"/>
        </w:rPr>
        <w:t>The role of accountants in environmental management: Evidence from Hong Kong</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Journal of International Accounting Research</w:t>
      </w:r>
      <w:r w:rsidRPr="000D4DCD">
        <w:rPr>
          <w:rFonts w:asciiTheme="majorBidi" w:hAnsiTheme="majorBidi" w:cstheme="majorBidi"/>
          <w:sz w:val="24"/>
          <w:szCs w:val="24"/>
          <w:lang w:val="en-US"/>
        </w:rPr>
        <w:t>, 19(2), 113-128.</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Jones, M. J., Solomon, J. F., &amp; Hensher, D. A. (2020). </w:t>
      </w:r>
      <w:r w:rsidRPr="000D4DCD">
        <w:rPr>
          <w:rFonts w:asciiTheme="majorBidi" w:hAnsiTheme="majorBidi" w:cstheme="majorBidi"/>
          <w:i/>
          <w:iCs/>
          <w:sz w:val="24"/>
          <w:szCs w:val="24"/>
          <w:lang w:val="en-US"/>
        </w:rPr>
        <w:t>Accounting for Sustainability: Past, Present and Future</w:t>
      </w:r>
      <w:r w:rsidRPr="000D4DCD">
        <w:rPr>
          <w:rFonts w:asciiTheme="majorBidi" w:hAnsiTheme="majorBidi" w:cstheme="majorBidi"/>
          <w:sz w:val="24"/>
          <w:szCs w:val="24"/>
          <w:lang w:val="en-US"/>
        </w:rPr>
        <w:t>. Journal of Corporate Accounting &amp; Finance, 31(4), 29-40.</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Joshi, P. &amp; Krishnan, G. (2019). </w:t>
      </w:r>
      <w:r w:rsidRPr="000D4DCD">
        <w:rPr>
          <w:rFonts w:asciiTheme="majorBidi" w:hAnsiTheme="majorBidi" w:cstheme="majorBidi"/>
          <w:i/>
          <w:iCs/>
          <w:sz w:val="24"/>
          <w:szCs w:val="24"/>
          <w:lang w:val="en-US"/>
        </w:rPr>
        <w:t>Perceptions of accountants towards environmental responsibility: Evidence from emerging economies</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Journal of Cleaner Production</w:t>
      </w:r>
      <w:r w:rsidRPr="000D4DCD">
        <w:rPr>
          <w:rFonts w:asciiTheme="majorBidi" w:hAnsiTheme="majorBidi" w:cstheme="majorBidi"/>
          <w:sz w:val="24"/>
          <w:szCs w:val="24"/>
          <w:lang w:val="en-US"/>
        </w:rPr>
        <w:t>, 234, 1324-1333.</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Kamla, R., et al. (2020). </w:t>
      </w:r>
      <w:r w:rsidRPr="000D4DCD">
        <w:rPr>
          <w:rFonts w:asciiTheme="majorBidi" w:hAnsiTheme="majorBidi" w:cstheme="majorBidi"/>
          <w:i/>
          <w:iCs/>
          <w:sz w:val="24"/>
          <w:szCs w:val="24"/>
          <w:lang w:val="en-US"/>
        </w:rPr>
        <w:t>Perceptions of environmental accounting and social responsibility among Syrian accountants</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International Journal of Accounting, Auditing and Performance Evaluation</w:t>
      </w:r>
      <w:r w:rsidRPr="000D4DCD">
        <w:rPr>
          <w:rFonts w:asciiTheme="majorBidi" w:hAnsiTheme="majorBidi" w:cstheme="majorBidi"/>
          <w:sz w:val="24"/>
          <w:szCs w:val="24"/>
          <w:lang w:val="en-US"/>
        </w:rPr>
        <w:t>, 16(2), 143-162.</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Kester, G. W. (2022). The Evolution of Accounting in the 21st Century.</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Kuasirikun, N. (2021). </w:t>
      </w:r>
      <w:r w:rsidRPr="000D4DCD">
        <w:rPr>
          <w:rFonts w:asciiTheme="majorBidi" w:hAnsiTheme="majorBidi" w:cstheme="majorBidi"/>
          <w:i/>
          <w:iCs/>
          <w:sz w:val="24"/>
          <w:szCs w:val="24"/>
          <w:lang w:val="en-US"/>
        </w:rPr>
        <w:t>Thai accountants’ perspectives on environmental accounting and reporting</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Journal of Accounting and Organizational Change</w:t>
      </w:r>
      <w:r w:rsidRPr="000D4DCD">
        <w:rPr>
          <w:rFonts w:asciiTheme="majorBidi" w:hAnsiTheme="majorBidi" w:cstheme="majorBidi"/>
          <w:sz w:val="24"/>
          <w:szCs w:val="24"/>
          <w:lang w:val="en-US"/>
        </w:rPr>
        <w:t>, 17(1), 39-61.</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lastRenderedPageBreak/>
        <w:t xml:space="preserve">Lafontaine, C. (2022). </w:t>
      </w:r>
      <w:r w:rsidRPr="000D4DCD">
        <w:rPr>
          <w:rFonts w:asciiTheme="majorBidi" w:hAnsiTheme="majorBidi" w:cstheme="majorBidi"/>
          <w:i/>
          <w:iCs/>
          <w:sz w:val="24"/>
          <w:szCs w:val="24"/>
          <w:lang w:val="en-US"/>
        </w:rPr>
        <w:t>The limited role of accountants in environmental management: Evidence from French firms certified ISO 14001</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Environmental Management and Sustainable Development</w:t>
      </w:r>
      <w:r w:rsidRPr="000D4DCD">
        <w:rPr>
          <w:rFonts w:asciiTheme="majorBidi" w:hAnsiTheme="majorBidi" w:cstheme="majorBidi"/>
          <w:sz w:val="24"/>
          <w:szCs w:val="24"/>
          <w:lang w:val="en-US"/>
        </w:rPr>
        <w:t>, 11(2), 102-115.</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Lodhia, S. K. (2020). </w:t>
      </w:r>
      <w:r w:rsidRPr="000D4DCD">
        <w:rPr>
          <w:rFonts w:asciiTheme="majorBidi" w:hAnsiTheme="majorBidi" w:cstheme="majorBidi"/>
          <w:i/>
          <w:iCs/>
          <w:sz w:val="24"/>
          <w:szCs w:val="24"/>
          <w:lang w:val="en-US"/>
        </w:rPr>
        <w:t>Accountants and environmental sustainability: Evidence from Fiji</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Journal of Cleaner Production</w:t>
      </w:r>
      <w:r w:rsidRPr="000D4DCD">
        <w:rPr>
          <w:rFonts w:asciiTheme="majorBidi" w:hAnsiTheme="majorBidi" w:cstheme="majorBidi"/>
          <w:sz w:val="24"/>
          <w:szCs w:val="24"/>
          <w:lang w:val="en-US"/>
        </w:rPr>
        <w:t>, 258, 120996.</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Renaud, A. (2022). </w:t>
      </w:r>
      <w:r w:rsidRPr="000D4DCD">
        <w:rPr>
          <w:rFonts w:asciiTheme="majorBidi" w:hAnsiTheme="majorBidi" w:cstheme="majorBidi"/>
          <w:i/>
          <w:iCs/>
          <w:sz w:val="24"/>
          <w:szCs w:val="24"/>
          <w:lang w:val="en-US"/>
        </w:rPr>
        <w:t>The evolving role of management accountants in environmental sustainability: A longitudinal case study</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Management Accounting Research</w:t>
      </w:r>
      <w:r w:rsidRPr="000D4DCD">
        <w:rPr>
          <w:rFonts w:asciiTheme="majorBidi" w:hAnsiTheme="majorBidi" w:cstheme="majorBidi"/>
          <w:sz w:val="24"/>
          <w:szCs w:val="24"/>
          <w:lang w:val="en-US"/>
        </w:rPr>
        <w:t>, 52, 100692.</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Wilmshurst, T. &amp; Frost, G. (2019). </w:t>
      </w:r>
      <w:r w:rsidRPr="000D4DCD">
        <w:rPr>
          <w:rFonts w:asciiTheme="majorBidi" w:hAnsiTheme="majorBidi" w:cstheme="majorBidi"/>
          <w:i/>
          <w:iCs/>
          <w:sz w:val="24"/>
          <w:szCs w:val="24"/>
          <w:lang w:val="en-US"/>
        </w:rPr>
        <w:t>The role of management accountants in environmental sustainability: An Australian perspective</w:t>
      </w:r>
      <w:r w:rsidRPr="000D4DCD">
        <w:rPr>
          <w:rFonts w:asciiTheme="majorBidi" w:hAnsiTheme="majorBidi" w:cstheme="majorBidi"/>
          <w:sz w:val="24"/>
          <w:szCs w:val="24"/>
          <w:lang w:val="en-US"/>
        </w:rPr>
        <w:t xml:space="preserve">. </w:t>
      </w:r>
      <w:r w:rsidRPr="000D4DCD">
        <w:rPr>
          <w:rFonts w:asciiTheme="majorBidi" w:hAnsiTheme="majorBidi" w:cstheme="majorBidi"/>
          <w:i/>
          <w:iCs/>
          <w:sz w:val="24"/>
          <w:szCs w:val="24"/>
          <w:lang w:val="en-US"/>
        </w:rPr>
        <w:t>Accounting, Auditing &amp; Accountability Journal</w:t>
      </w:r>
      <w:r w:rsidRPr="000D4DCD">
        <w:rPr>
          <w:rFonts w:asciiTheme="majorBidi" w:hAnsiTheme="majorBidi" w:cstheme="majorBidi"/>
          <w:sz w:val="24"/>
          <w:szCs w:val="24"/>
          <w:lang w:val="en-US"/>
        </w:rPr>
        <w:t>, 32(4), 991-1014.</w:t>
      </w:r>
    </w:p>
    <w:p w:rsidR="00080AA1" w:rsidRPr="000D4DCD" w:rsidRDefault="00080AA1" w:rsidP="00080AA1">
      <w:pPr>
        <w:ind w:left="284" w:hanging="284"/>
        <w:rPr>
          <w:rFonts w:asciiTheme="majorBidi" w:hAnsiTheme="majorBidi" w:cstheme="majorBidi"/>
          <w:sz w:val="24"/>
          <w:szCs w:val="24"/>
          <w:lang w:val="en-US"/>
        </w:rPr>
      </w:pPr>
      <w:r w:rsidRPr="000D4DCD">
        <w:rPr>
          <w:rFonts w:asciiTheme="majorBidi" w:hAnsiTheme="majorBidi" w:cstheme="majorBidi"/>
          <w:sz w:val="24"/>
          <w:szCs w:val="24"/>
          <w:lang w:val="en-US"/>
        </w:rPr>
        <w:t xml:space="preserve">World Bank. (2020). </w:t>
      </w:r>
      <w:r w:rsidRPr="000D4DCD">
        <w:rPr>
          <w:rFonts w:asciiTheme="majorBidi" w:hAnsiTheme="majorBidi" w:cstheme="majorBidi"/>
          <w:i/>
          <w:iCs/>
          <w:sz w:val="24"/>
          <w:szCs w:val="24"/>
          <w:lang w:val="en-US"/>
        </w:rPr>
        <w:t>Tunisia Economic Monitor: Navigating through the Crisis</w:t>
      </w:r>
      <w:r w:rsidRPr="000D4DCD">
        <w:rPr>
          <w:rFonts w:asciiTheme="majorBidi" w:hAnsiTheme="majorBidi" w:cstheme="majorBidi"/>
          <w:sz w:val="24"/>
          <w:szCs w:val="24"/>
          <w:lang w:val="en-US"/>
        </w:rPr>
        <w:t>. Washington, DC: World Bank Group.</w:t>
      </w:r>
    </w:p>
    <w:p w:rsidR="00080AA1" w:rsidRPr="00C241DA" w:rsidRDefault="00080AA1" w:rsidP="00080AA1">
      <w:pPr>
        <w:ind w:left="284" w:hanging="284"/>
        <w:rPr>
          <w:rFonts w:asciiTheme="majorBidi" w:hAnsiTheme="majorBidi" w:cstheme="majorBidi"/>
          <w:sz w:val="24"/>
          <w:szCs w:val="24"/>
        </w:rPr>
      </w:pPr>
      <w:r w:rsidRPr="000D4DCD">
        <w:rPr>
          <w:rFonts w:asciiTheme="majorBidi" w:hAnsiTheme="majorBidi" w:cstheme="majorBidi"/>
          <w:sz w:val="24"/>
          <w:szCs w:val="24"/>
          <w:lang w:val="en-US"/>
        </w:rPr>
        <w:t xml:space="preserve">Zulkifli, N. &amp; Amran, A. (2020). </w:t>
      </w:r>
      <w:r w:rsidRPr="000D4DCD">
        <w:rPr>
          <w:rFonts w:asciiTheme="majorBidi" w:hAnsiTheme="majorBidi" w:cstheme="majorBidi"/>
          <w:i/>
          <w:iCs/>
          <w:sz w:val="24"/>
          <w:szCs w:val="24"/>
          <w:lang w:val="en-US"/>
        </w:rPr>
        <w:t>Understanding accountants’ knowledge and perception of environmental accounting and social responsibility in Malaysia</w:t>
      </w:r>
      <w:r w:rsidRPr="000D4DCD">
        <w:rPr>
          <w:rFonts w:asciiTheme="majorBidi" w:hAnsiTheme="majorBidi" w:cstheme="majorBidi"/>
          <w:sz w:val="24"/>
          <w:szCs w:val="24"/>
          <w:lang w:val="en-US"/>
        </w:rPr>
        <w:t xml:space="preserve">. </w:t>
      </w:r>
      <w:r w:rsidRPr="00C241DA">
        <w:rPr>
          <w:rFonts w:asciiTheme="majorBidi" w:hAnsiTheme="majorBidi" w:cstheme="majorBidi"/>
          <w:i/>
          <w:iCs/>
          <w:sz w:val="24"/>
          <w:szCs w:val="24"/>
        </w:rPr>
        <w:t>Asian Review of Accounting</w:t>
      </w:r>
      <w:r w:rsidRPr="00C241DA">
        <w:rPr>
          <w:rFonts w:asciiTheme="majorBidi" w:hAnsiTheme="majorBidi" w:cstheme="majorBidi"/>
          <w:sz w:val="24"/>
          <w:szCs w:val="24"/>
        </w:rPr>
        <w:t>, 28(1), 26-45.</w:t>
      </w:r>
    </w:p>
    <w:p w:rsidR="00080AA1" w:rsidRDefault="00080AA1" w:rsidP="00080AA1">
      <w:pPr>
        <w:pStyle w:val="Corpsdetexte"/>
        <w:spacing w:line="360" w:lineRule="auto"/>
        <w:ind w:left="0" w:right="6"/>
      </w:pPr>
    </w:p>
    <w:p w:rsidR="00E72138" w:rsidRPr="00DE24F8" w:rsidRDefault="00E72138" w:rsidP="00080AA1">
      <w:pPr>
        <w:autoSpaceDE w:val="0"/>
        <w:autoSpaceDN w:val="0"/>
        <w:adjustRightInd w:val="0"/>
        <w:rPr>
          <w:rFonts w:asciiTheme="majorBidi" w:hAnsiTheme="majorBidi" w:cstheme="majorBidi"/>
          <w:b/>
          <w:bCs/>
          <w:sz w:val="24"/>
          <w:szCs w:val="24"/>
          <w:lang w:val="en-US"/>
        </w:rPr>
      </w:pPr>
    </w:p>
    <w:sectPr w:rsidR="00E72138" w:rsidRPr="00DE24F8" w:rsidSect="00F06905">
      <w:headerReference w:type="default" r:id="rId15"/>
      <w:footerReference w:type="default" r:id="rId16"/>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467" w:rsidRDefault="006C5467" w:rsidP="00E946C4">
      <w:pPr>
        <w:spacing w:line="240" w:lineRule="auto"/>
      </w:pPr>
      <w:r>
        <w:separator/>
      </w:r>
    </w:p>
  </w:endnote>
  <w:endnote w:type="continuationSeparator" w:id="1">
    <w:p w:rsidR="006C5467" w:rsidRDefault="006C5467" w:rsidP="00E946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595896"/>
      <w:docPartObj>
        <w:docPartGallery w:val="Page Numbers (Bottom of Page)"/>
        <w:docPartUnique/>
      </w:docPartObj>
    </w:sdtPr>
    <w:sdtContent>
      <w:p w:rsidR="00080AA1" w:rsidRDefault="00080AA1" w:rsidP="005C2A41">
        <w:pPr>
          <w:pStyle w:val="Pieddepage"/>
          <w:jc w:val="right"/>
        </w:pPr>
      </w:p>
      <w:p w:rsidR="00080AA1" w:rsidRDefault="00080AA1" w:rsidP="005C2A41">
        <w:pPr>
          <w:pStyle w:val="Pieddepage"/>
          <w:jc w:val="right"/>
        </w:pPr>
      </w:p>
      <w:p w:rsidR="00080AA1" w:rsidRPr="005C2A41" w:rsidRDefault="00080AA1" w:rsidP="005C2A41">
        <w:pPr>
          <w:pStyle w:val="Pieddepage"/>
          <w:jc w:val="right"/>
        </w:pPr>
        <w:fldSimple w:instr="PAGE   \* MERGEFORMAT">
          <w:r w:rsidR="00FA754F">
            <w:rPr>
              <w:noProof/>
            </w:rPr>
            <w:t>1</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60552"/>
      <w:docPartObj>
        <w:docPartGallery w:val="Page Numbers (Bottom of Page)"/>
        <w:docPartUnique/>
      </w:docPartObj>
    </w:sdtPr>
    <w:sdtContent>
      <w:p w:rsidR="00080AA1" w:rsidRPr="00CC1B30" w:rsidRDefault="00080AA1" w:rsidP="00CC1B30">
        <w:pPr>
          <w:pStyle w:val="Pieddepage"/>
          <w:jc w:val="right"/>
        </w:pPr>
        <w:fldSimple w:instr="PAGE   \* MERGEFORMAT">
          <w:r w:rsidR="00FA754F">
            <w:rPr>
              <w:noProof/>
            </w:rPr>
            <w:t>15</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21" w:rsidRDefault="00BF5021"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Revue Internationale Multidisciplinaire</w:t>
    </w:r>
  </w:p>
  <w:p w:rsidR="00BF5021" w:rsidRPr="006F12F8" w:rsidRDefault="00BF5021"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Pr="006F12F8">
      <w:rPr>
        <w:rFonts w:ascii="Book Antiqua" w:hAnsi="Book Antiqua"/>
        <w:b/>
        <w:bCs/>
        <w:sz w:val="20"/>
        <w:szCs w:val="20"/>
      </w:rPr>
      <w:tab/>
    </w:r>
    <w:hyperlink r:id="rId1" w:history="1">
      <w:r w:rsidRPr="00B75323">
        <w:rPr>
          <w:rStyle w:val="Lienhypertexte"/>
          <w:rFonts w:ascii="Book Antiqua" w:hAnsi="Book Antiqua"/>
          <w:b/>
          <w:bCs/>
          <w:sz w:val="20"/>
          <w:szCs w:val="20"/>
        </w:rPr>
        <w:t>www.rimege.com</w:t>
      </w:r>
    </w:hyperlink>
    <w:r w:rsidRPr="006F12F8">
      <w:rPr>
        <w:rFonts w:ascii="Book Antiqua" w:hAnsi="Book Antiqua"/>
        <w:b/>
        <w:bCs/>
        <w:sz w:val="20"/>
        <w:szCs w:val="20"/>
      </w:rPr>
      <w:tab/>
    </w:r>
    <w:r w:rsidRPr="006F12F8">
      <w:rPr>
        <w:rFonts w:ascii="Book Antiqua" w:hAnsi="Book Antiqua"/>
        <w:b/>
        <w:bCs/>
        <w:sz w:val="20"/>
        <w:szCs w:val="20"/>
      </w:rPr>
      <w:tab/>
      <w:t xml:space="preserve">Page </w:t>
    </w:r>
    <w:r w:rsidRPr="00B0560A">
      <w:rPr>
        <w:rFonts w:ascii="Book Antiqua" w:hAnsi="Book Antiqua"/>
        <w:b/>
        <w:bCs/>
        <w:sz w:val="20"/>
        <w:szCs w:val="20"/>
      </w:rPr>
      <w:fldChar w:fldCharType="begin"/>
    </w:r>
    <w:r w:rsidRPr="006F12F8">
      <w:rPr>
        <w:rFonts w:ascii="Book Antiqua" w:hAnsi="Book Antiqua"/>
        <w:b/>
        <w:bCs/>
        <w:sz w:val="20"/>
        <w:szCs w:val="20"/>
      </w:rPr>
      <w:instrText xml:space="preserve"> PAGE   \* MERGEFORMAT </w:instrText>
    </w:r>
    <w:r w:rsidRPr="00B0560A">
      <w:rPr>
        <w:rFonts w:ascii="Book Antiqua" w:hAnsi="Book Antiqua"/>
        <w:b/>
        <w:bCs/>
        <w:sz w:val="20"/>
        <w:szCs w:val="20"/>
      </w:rPr>
      <w:fldChar w:fldCharType="separate"/>
    </w:r>
    <w:r w:rsidR="00FA754F" w:rsidRPr="00FA754F">
      <w:rPr>
        <w:rFonts w:ascii="Book Antiqua" w:hAnsi="Book Antiqua"/>
        <w:b/>
        <w:noProof/>
        <w:sz w:val="20"/>
        <w:szCs w:val="20"/>
      </w:rPr>
      <w:t>1</w:t>
    </w:r>
    <w:r w:rsidRPr="00B0560A">
      <w:rPr>
        <w:rFonts w:ascii="Book Antiqua" w:hAnsi="Book Antiqua"/>
        <w:b/>
        <w:bCs/>
        <w:sz w:val="20"/>
        <w:szCs w:val="20"/>
      </w:rPr>
      <w:fldChar w:fldCharType="end"/>
    </w:r>
  </w:p>
  <w:p w:rsidR="00BF5021" w:rsidRPr="006F12F8" w:rsidRDefault="00BF5021" w:rsidP="00F0690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467" w:rsidRDefault="006C5467" w:rsidP="00E946C4">
      <w:pPr>
        <w:spacing w:line="240" w:lineRule="auto"/>
      </w:pPr>
      <w:r>
        <w:separator/>
      </w:r>
    </w:p>
  </w:footnote>
  <w:footnote w:type="continuationSeparator" w:id="1">
    <w:p w:rsidR="006C5467" w:rsidRDefault="006C5467" w:rsidP="00E946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AA1" w:rsidRDefault="00080AA1">
    <w:pPr>
      <w:pStyle w:val="Corpsdetexte"/>
      <w:spacing w:line="14" w:lineRule="auto"/>
      <w:ind w:left="0"/>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AA1" w:rsidRDefault="00080AA1">
    <w:pPr>
      <w:pStyle w:val="Corpsdetexte"/>
      <w:spacing w:line="14" w:lineRule="auto"/>
      <w:ind w:left="0"/>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021" w:rsidRDefault="00BF5021"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anchor>
      </w:drawing>
    </w:r>
    <w:r w:rsidRPr="008176FC">
      <w:rPr>
        <w:rFonts w:ascii="Book Antiqua" w:hAnsi="Book Antiqua"/>
        <w:b/>
        <w:sz w:val="20"/>
      </w:rPr>
      <w:t> </w:t>
    </w:r>
    <w:r>
      <w:rPr>
        <w:rFonts w:ascii="Book Antiqua" w:hAnsi="Book Antiqua"/>
        <w:b/>
        <w:sz w:val="20"/>
      </w:rPr>
      <w:t>Revue Internationale Multidisciplinaire</w:t>
    </w:r>
  </w:p>
  <w:p w:rsidR="00BF5021" w:rsidRDefault="00BF5021" w:rsidP="008176FC">
    <w:pPr>
      <w:tabs>
        <w:tab w:val="right" w:pos="9072"/>
      </w:tabs>
      <w:spacing w:line="276" w:lineRule="auto"/>
      <w:rPr>
        <w:rFonts w:ascii="Book Antiqua" w:hAnsi="Book Antiqua"/>
        <w:b/>
        <w:sz w:val="20"/>
      </w:rPr>
    </w:pPr>
    <w:r>
      <w:rPr>
        <w:rFonts w:ascii="Book Antiqua" w:hAnsi="Book Antiqua"/>
        <w:b/>
        <w:sz w:val="20"/>
      </w:rPr>
      <w:t>D’Economie et de Gestion</w:t>
    </w:r>
  </w:p>
  <w:p w:rsidR="00BF5021" w:rsidRPr="00811527" w:rsidRDefault="00BF5021"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r w:rsidRPr="00AC56EF">
      <w:t xml:space="preserve"> </w:t>
    </w:r>
    <w:r w:rsidRPr="00E42047">
      <w:t>2724-7260</w:t>
    </w:r>
  </w:p>
  <w:p w:rsidR="00BF5021" w:rsidRPr="002D6CAA" w:rsidRDefault="00BF5021" w:rsidP="00AC56EF">
    <w:pPr>
      <w:tabs>
        <w:tab w:val="right" w:pos="9072"/>
      </w:tabs>
      <w:spacing w:line="276" w:lineRule="auto"/>
    </w:pPr>
    <w:r>
      <w:rPr>
        <w:rFonts w:ascii="Book Antiqua" w:hAnsi="Book Antiqua"/>
        <w:sz w:val="20"/>
      </w:rPr>
      <w:t>Volume 1: Numéro 1</w:t>
    </w:r>
    <w:r w:rsidRPr="00811527">
      <w:tab/>
    </w:r>
  </w:p>
  <w:p w:rsidR="00BF5021" w:rsidRPr="009A2F58" w:rsidRDefault="00BF5021" w:rsidP="00F06905">
    <w:pPr>
      <w:pStyle w:val="En-tte"/>
      <w:spacing w:line="276" w:lineRule="auto"/>
      <w:ind w:left="-99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BA050EA"/>
    <w:multiLevelType w:val="hybridMultilevel"/>
    <w:tmpl w:val="CEECDDDE"/>
    <w:lvl w:ilvl="0" w:tplc="E6444FE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8">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72A4141"/>
    <w:multiLevelType w:val="hybridMultilevel"/>
    <w:tmpl w:val="27949F4A"/>
    <w:lvl w:ilvl="0" w:tplc="E6444FE4">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1267DA0"/>
    <w:multiLevelType w:val="multilevel"/>
    <w:tmpl w:val="95848C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9"/>
  </w:num>
  <w:num w:numId="3">
    <w:abstractNumId w:val="6"/>
  </w:num>
  <w:num w:numId="4">
    <w:abstractNumId w:val="11"/>
  </w:num>
  <w:num w:numId="5">
    <w:abstractNumId w:val="4"/>
  </w:num>
  <w:num w:numId="6">
    <w:abstractNumId w:val="2"/>
  </w:num>
  <w:num w:numId="7">
    <w:abstractNumId w:val="1"/>
  </w:num>
  <w:num w:numId="8">
    <w:abstractNumId w:val="15"/>
  </w:num>
  <w:num w:numId="9">
    <w:abstractNumId w:val="5"/>
  </w:num>
  <w:num w:numId="10">
    <w:abstractNumId w:val="0"/>
  </w:num>
  <w:num w:numId="11">
    <w:abstractNumId w:val="13"/>
  </w:num>
  <w:num w:numId="12">
    <w:abstractNumId w:val="12"/>
  </w:num>
  <w:num w:numId="13">
    <w:abstractNumId w:val="8"/>
  </w:num>
  <w:num w:numId="14">
    <w:abstractNumId w:val="7"/>
  </w:num>
  <w:num w:numId="15">
    <w:abstractNumId w:val="14"/>
  </w:num>
  <w:num w:numId="16">
    <w:abstractNumId w:val="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useFELayout/>
  </w:compat>
  <w:rsids>
    <w:rsidRoot w:val="00547346"/>
    <w:rsid w:val="00000443"/>
    <w:rsid w:val="00001428"/>
    <w:rsid w:val="00001CB8"/>
    <w:rsid w:val="000032D8"/>
    <w:rsid w:val="00003578"/>
    <w:rsid w:val="000042C2"/>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0AA1"/>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68B8"/>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C5467"/>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39A"/>
    <w:rsid w:val="00761937"/>
    <w:rsid w:val="007703B3"/>
    <w:rsid w:val="00772F29"/>
    <w:rsid w:val="00776C6D"/>
    <w:rsid w:val="00781511"/>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8E0"/>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C56EF"/>
    <w:rsid w:val="00AD080E"/>
    <w:rsid w:val="00AD3342"/>
    <w:rsid w:val="00AD4431"/>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BF5021"/>
    <w:rsid w:val="00C01A74"/>
    <w:rsid w:val="00C0702D"/>
    <w:rsid w:val="00C07695"/>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A754F"/>
    <w:rsid w:val="00FB0807"/>
    <w:rsid w:val="00FB0931"/>
    <w:rsid w:val="00FB266D"/>
    <w:rsid w:val="00FC381C"/>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7A"/>
  </w:style>
  <w:style w:type="paragraph" w:styleId="Titre1">
    <w:name w:val="heading 1"/>
    <w:basedOn w:val="Normal"/>
    <w:link w:val="Titre1Car"/>
    <w:uiPriority w:val="9"/>
    <w:qFormat/>
    <w:rsid w:val="00BF5021"/>
    <w:pPr>
      <w:widowControl w:val="0"/>
      <w:autoSpaceDE w:val="0"/>
      <w:autoSpaceDN w:val="0"/>
      <w:spacing w:line="240" w:lineRule="auto"/>
      <w:ind w:left="136"/>
      <w:outlineLvl w:val="0"/>
    </w:pPr>
    <w:rPr>
      <w:rFonts w:ascii="Times New Roman" w:eastAsia="Times New Roman" w:hAnsi="Times New Roman" w:cs="Times New Roman"/>
      <w:b/>
      <w:bCs/>
      <w:sz w:val="24"/>
      <w:szCs w:val="24"/>
      <w:lang w:eastAsia="en-US"/>
    </w:rPr>
  </w:style>
  <w:style w:type="paragraph" w:styleId="Titre2">
    <w:name w:val="heading 2"/>
    <w:basedOn w:val="Normal"/>
    <w:next w:val="Normal"/>
    <w:link w:val="Titre2Car"/>
    <w:uiPriority w:val="9"/>
    <w:semiHidden/>
    <w:unhideWhenUsed/>
    <w:qFormat/>
    <w:rsid w:val="00080AA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1"/>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paragraph" w:customStyle="1" w:styleId="IEEEAuthorName">
    <w:name w:val="IEEE Author Name"/>
    <w:basedOn w:val="Normal"/>
    <w:next w:val="Normal"/>
    <w:rsid w:val="00781511"/>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styleId="Accentuation">
    <w:name w:val="Emphasis"/>
    <w:basedOn w:val="Policepardfaut"/>
    <w:uiPriority w:val="20"/>
    <w:qFormat/>
    <w:rsid w:val="00781511"/>
    <w:rPr>
      <w:i/>
      <w:iCs/>
    </w:rPr>
  </w:style>
  <w:style w:type="character" w:customStyle="1" w:styleId="Titre1Car">
    <w:name w:val="Titre 1 Car"/>
    <w:basedOn w:val="Policepardfaut"/>
    <w:link w:val="Titre1"/>
    <w:uiPriority w:val="9"/>
    <w:rsid w:val="00BF5021"/>
    <w:rPr>
      <w:rFonts w:ascii="Times New Roman" w:eastAsia="Times New Roman" w:hAnsi="Times New Roman" w:cs="Times New Roman"/>
      <w:b/>
      <w:bCs/>
      <w:sz w:val="24"/>
      <w:szCs w:val="24"/>
      <w:lang w:eastAsia="en-US"/>
    </w:rPr>
  </w:style>
  <w:style w:type="paragraph" w:styleId="Corpsdetexte">
    <w:name w:val="Body Text"/>
    <w:basedOn w:val="Normal"/>
    <w:link w:val="CorpsdetexteCar"/>
    <w:uiPriority w:val="1"/>
    <w:qFormat/>
    <w:rsid w:val="00BF5021"/>
    <w:pPr>
      <w:widowControl w:val="0"/>
      <w:autoSpaceDE w:val="0"/>
      <w:autoSpaceDN w:val="0"/>
      <w:spacing w:line="240" w:lineRule="auto"/>
      <w:ind w:left="136"/>
    </w:pPr>
    <w:rPr>
      <w:rFonts w:ascii="Times New Roman" w:eastAsia="Times New Roman" w:hAnsi="Times New Roman" w:cs="Times New Roman"/>
      <w:sz w:val="24"/>
      <w:szCs w:val="24"/>
      <w:lang w:eastAsia="en-US"/>
    </w:rPr>
  </w:style>
  <w:style w:type="character" w:customStyle="1" w:styleId="CorpsdetexteCar">
    <w:name w:val="Corps de texte Car"/>
    <w:basedOn w:val="Policepardfaut"/>
    <w:link w:val="Corpsdetexte"/>
    <w:uiPriority w:val="1"/>
    <w:rsid w:val="00BF5021"/>
    <w:rPr>
      <w:rFonts w:ascii="Times New Roman" w:eastAsia="Times New Roman" w:hAnsi="Times New Roman" w:cs="Times New Roman"/>
      <w:sz w:val="24"/>
      <w:szCs w:val="24"/>
      <w:lang w:eastAsia="en-US"/>
    </w:rPr>
  </w:style>
  <w:style w:type="character" w:customStyle="1" w:styleId="Titre2Car">
    <w:name w:val="Titre 2 Car"/>
    <w:basedOn w:val="Policepardfaut"/>
    <w:link w:val="Titre2"/>
    <w:uiPriority w:val="9"/>
    <w:semiHidden/>
    <w:rsid w:val="00080AA1"/>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080AA1"/>
    <w:pPr>
      <w:widowControl w:val="0"/>
      <w:autoSpaceDE w:val="0"/>
      <w:autoSpaceDN w:val="0"/>
      <w:spacing w:line="240" w:lineRule="auto"/>
      <w:jc w:val="left"/>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0AA1"/>
    <w:pPr>
      <w:widowControl w:val="0"/>
      <w:autoSpaceDE w:val="0"/>
      <w:autoSpaceDN w:val="0"/>
      <w:spacing w:line="226" w:lineRule="exact"/>
      <w:jc w:val="center"/>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egs.rnu.tn/eng/hom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segs.rnu.tn/eng/home"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22</Pages>
  <Words>6788</Words>
  <Characters>37334</Characters>
  <Application>Microsoft Office Word</Application>
  <DocSecurity>0</DocSecurity>
  <Lines>311</Lines>
  <Paragraphs>88</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44034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Samsung</cp:lastModifiedBy>
  <cp:revision>14</cp:revision>
  <cp:lastPrinted>2018-02-14T02:59:00Z</cp:lastPrinted>
  <dcterms:created xsi:type="dcterms:W3CDTF">2020-12-25T11:36:00Z</dcterms:created>
  <dcterms:modified xsi:type="dcterms:W3CDTF">2025-12-12T10:48:00Z</dcterms:modified>
</cp:coreProperties>
</file>